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989"/>
      </w:tblGrid>
      <w:tr w:rsidR="00FE1EC4" w:rsidRPr="003A7E0F" w14:paraId="435442C5" w14:textId="77777777" w:rsidTr="00EA3215">
        <w:tc>
          <w:tcPr>
            <w:tcW w:w="10989" w:type="dxa"/>
            <w:tcBorders>
              <w:top w:val="single" w:sz="4" w:space="0" w:color="D2435B" w:themeColor="accent1"/>
              <w:left w:val="single" w:sz="4" w:space="0" w:color="D2435B" w:themeColor="accent1"/>
              <w:bottom w:val="single" w:sz="4" w:space="0" w:color="D2435B" w:themeColor="accent1"/>
              <w:right w:val="single" w:sz="4" w:space="0" w:color="D2435B" w:themeColor="accent1"/>
            </w:tcBorders>
          </w:tcPr>
          <w:p w14:paraId="49DC9570" w14:textId="77777777" w:rsidR="00242BF0" w:rsidRPr="00EA3215" w:rsidRDefault="00242BF0" w:rsidP="00242BF0">
            <w:pPr>
              <w:spacing w:before="0" w:after="0"/>
              <w:jc w:val="center"/>
              <w:rPr>
                <w:rFonts w:ascii="Century Gothic" w:hAnsi="Century Gothic" w:cs="Tahoma"/>
                <w:b/>
                <w:color w:val="D2435B" w:themeColor="accent1"/>
                <w:sz w:val="32"/>
                <w:szCs w:val="32"/>
              </w:rPr>
            </w:pPr>
            <w:r w:rsidRPr="00EA3215">
              <w:rPr>
                <w:rFonts w:ascii="Century Gothic" w:hAnsi="Century Gothic" w:cs="Tahoma"/>
                <w:b/>
                <w:color w:val="D2435B" w:themeColor="accent1"/>
                <w:sz w:val="32"/>
                <w:szCs w:val="32"/>
              </w:rPr>
              <w:t xml:space="preserve">ADHÉSION À LA CONVENTION DE PARTICIPATION PROPOSÉE </w:t>
            </w:r>
          </w:p>
          <w:p w14:paraId="013758BF" w14:textId="2E5DB537" w:rsidR="00FE1EC4" w:rsidRPr="003A7E0F" w:rsidRDefault="00242BF0" w:rsidP="00242BF0">
            <w:pPr>
              <w:spacing w:before="0" w:after="0"/>
              <w:jc w:val="center"/>
              <w:rPr>
                <w:rFonts w:ascii="Century Gothic" w:hAnsi="Century Gothic" w:cs="Tahoma"/>
                <w:b/>
                <w:color w:val="004C4C" w:themeColor="accent4" w:themeShade="80"/>
                <w:sz w:val="22"/>
                <w:szCs w:val="22"/>
              </w:rPr>
            </w:pPr>
            <w:r w:rsidRPr="00EA3215">
              <w:rPr>
                <w:rFonts w:ascii="Century Gothic" w:hAnsi="Century Gothic" w:cs="Tahoma"/>
                <w:b/>
                <w:color w:val="D2435B" w:themeColor="accent1"/>
                <w:sz w:val="32"/>
                <w:szCs w:val="32"/>
              </w:rPr>
              <w:t>PAR LE CENTRE DE GESTION AU TITRE DU RISQUE PREVOYANCE</w:t>
            </w:r>
          </w:p>
        </w:tc>
      </w:tr>
    </w:tbl>
    <w:p w14:paraId="485E9623" w14:textId="77777777" w:rsidR="00FE1EC4" w:rsidRDefault="00FE1EC4" w:rsidP="00FE1EC4">
      <w:pPr>
        <w:spacing w:before="0" w:after="0"/>
        <w:jc w:val="both"/>
        <w:rPr>
          <w:rFonts w:ascii="Tahoma" w:hAnsi="Tahoma" w:cs="Tahoma"/>
          <w:b/>
          <w:color w:val="004C4C" w:themeColor="accent4" w:themeShade="80"/>
          <w:sz w:val="22"/>
          <w:szCs w:val="24"/>
        </w:rPr>
      </w:pPr>
    </w:p>
    <w:p w14:paraId="1476DCAB" w14:textId="77777777" w:rsidR="00FE1EC4" w:rsidRPr="00EA3215" w:rsidRDefault="00FE1EC4" w:rsidP="00EA3215">
      <w:pPr>
        <w:spacing w:before="0" w:after="120"/>
        <w:jc w:val="both"/>
        <w:rPr>
          <w:rFonts w:ascii="Tahoma" w:hAnsi="Tahoma" w:cs="Tahoma"/>
          <w:b/>
          <w:color w:val="004C4C" w:themeColor="accent4" w:themeShade="80"/>
          <w:sz w:val="18"/>
          <w:szCs w:val="18"/>
        </w:rPr>
      </w:pPr>
      <w:r w:rsidRPr="00EA3215">
        <w:rPr>
          <w:rFonts w:ascii="Tahoma" w:hAnsi="Tahoma" w:cs="Tahoma"/>
          <w:b/>
          <w:noProof/>
          <w:color w:val="004C4C" w:themeColor="accent4" w:themeShade="80"/>
          <w:sz w:val="18"/>
          <w:szCs w:val="18"/>
        </w:rPr>
        <mc:AlternateContent>
          <mc:Choice Requires="wps">
            <w:drawing>
              <wp:anchor distT="0" distB="0" distL="114300" distR="114300" simplePos="0" relativeHeight="251680768" behindDoc="0" locked="0" layoutInCell="1" allowOverlap="1" wp14:anchorId="774336E0" wp14:editId="2A764CA9">
                <wp:simplePos x="0" y="0"/>
                <wp:positionH relativeFrom="column">
                  <wp:posOffset>178435</wp:posOffset>
                </wp:positionH>
                <wp:positionV relativeFrom="paragraph">
                  <wp:posOffset>19685</wp:posOffset>
                </wp:positionV>
                <wp:extent cx="0" cy="2412000"/>
                <wp:effectExtent l="38100" t="0" r="57150" b="64770"/>
                <wp:wrapSquare wrapText="bothSides"/>
                <wp:docPr id="3" name="Connecteur droit 3"/>
                <wp:cNvGraphicFramePr/>
                <a:graphic xmlns:a="http://schemas.openxmlformats.org/drawingml/2006/main">
                  <a:graphicData uri="http://schemas.microsoft.com/office/word/2010/wordprocessingShape">
                    <wps:wsp>
                      <wps:cNvCnPr/>
                      <wps:spPr>
                        <a:xfrm>
                          <a:off x="0" y="0"/>
                          <a:ext cx="0" cy="2412000"/>
                        </a:xfrm>
                        <a:prstGeom prst="line">
                          <a:avLst/>
                        </a:prstGeom>
                        <a:noFill/>
                        <a:ln w="101600" cap="flat" cmpd="sng" algn="ctr">
                          <a:gradFill>
                            <a:gsLst>
                              <a:gs pos="0">
                                <a:srgbClr val="D2435B">
                                  <a:lumMod val="50000"/>
                                </a:srgbClr>
                              </a:gs>
                              <a:gs pos="20000">
                                <a:srgbClr val="D2435B"/>
                              </a:gs>
                              <a:gs pos="100000">
                                <a:srgbClr val="D2435B"/>
                              </a:gs>
                            </a:gsLst>
                            <a:lin ang="5400000" scaled="1"/>
                          </a:gradFill>
                          <a:prstDash val="solid"/>
                        </a:ln>
                        <a:effectLst/>
                      </wps:spPr>
                      <wps:bodyPr/>
                    </wps:wsp>
                  </a:graphicData>
                </a:graphic>
                <wp14:sizeRelV relativeFrom="margin">
                  <wp14:pctHeight>0</wp14:pctHeight>
                </wp14:sizeRelV>
              </wp:anchor>
            </w:drawing>
          </mc:Choice>
          <mc:Fallback>
            <w:pict>
              <v:line w14:anchorId="75DFF1FA" id="Connecteur droit 3"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5pt,1.55pt" to="14.05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" strokeweight="8pt">
                <w10:wrap type="square"/>
              </v:line>
            </w:pict>
          </mc:Fallback>
        </mc:AlternateContent>
      </w:r>
      <w:r w:rsidRPr="00EA3215">
        <w:rPr>
          <w:rFonts w:ascii="Tahoma" w:hAnsi="Tahoma" w:cs="Tahoma"/>
          <w:b/>
          <w:color w:val="004C4C" w:themeColor="accent4" w:themeShade="80"/>
          <w:sz w:val="18"/>
          <w:szCs w:val="18"/>
        </w:rPr>
        <w:t>Rappel</w:t>
      </w:r>
    </w:p>
    <w:p w14:paraId="2EFC503B" w14:textId="77777777" w:rsidR="00FE1EC4" w:rsidRPr="00EA3215" w:rsidRDefault="00FE1EC4" w:rsidP="00EA3215">
      <w:pPr>
        <w:tabs>
          <w:tab w:val="left" w:pos="1985"/>
        </w:tabs>
        <w:spacing w:before="0" w:after="0"/>
        <w:jc w:val="both"/>
        <w:rPr>
          <w:rFonts w:ascii="Tahoma" w:hAnsi="Tahoma" w:cs="Tahoma"/>
          <w:bCs/>
          <w:color w:val="004C4C" w:themeColor="accent4" w:themeShade="80"/>
          <w:sz w:val="18"/>
          <w:szCs w:val="18"/>
        </w:rPr>
      </w:pPr>
      <w:r w:rsidRPr="00EA3215">
        <w:rPr>
          <w:rFonts w:ascii="Tahoma" w:hAnsi="Tahoma" w:cs="Tahoma"/>
          <w:bCs/>
          <w:color w:val="004C4C" w:themeColor="accent4" w:themeShade="80"/>
          <w:sz w:val="18"/>
          <w:szCs w:val="18"/>
        </w:rPr>
        <w:t>L’avis du comité social territorial doit être préalable à la délibération de votre conseil.</w:t>
      </w:r>
    </w:p>
    <w:p w14:paraId="209EC58C" w14:textId="77777777" w:rsidR="00FE1EC4" w:rsidRPr="00EA3215" w:rsidRDefault="00FE1EC4" w:rsidP="00EA3215">
      <w:pPr>
        <w:tabs>
          <w:tab w:val="left" w:pos="1985"/>
        </w:tabs>
        <w:spacing w:before="0" w:after="0"/>
        <w:jc w:val="both"/>
        <w:rPr>
          <w:rFonts w:ascii="Tahoma" w:hAnsi="Tahoma" w:cs="Tahoma"/>
          <w:bCs/>
          <w:color w:val="004C4C" w:themeColor="accent4" w:themeShade="80"/>
          <w:sz w:val="18"/>
          <w:szCs w:val="18"/>
        </w:rPr>
      </w:pPr>
    </w:p>
    <w:p w14:paraId="060D44BC" w14:textId="77777777" w:rsidR="00FE1EC4" w:rsidRPr="00EA3215" w:rsidRDefault="00FE1EC4" w:rsidP="00EA3215">
      <w:pPr>
        <w:tabs>
          <w:tab w:val="left" w:pos="1985"/>
        </w:tabs>
        <w:spacing w:before="0" w:after="120"/>
        <w:jc w:val="both"/>
        <w:rPr>
          <w:rFonts w:ascii="Tahoma" w:hAnsi="Tahoma" w:cs="Tahoma"/>
          <w:b/>
          <w:color w:val="004C4C" w:themeColor="accent4" w:themeShade="80"/>
          <w:sz w:val="18"/>
          <w:szCs w:val="18"/>
        </w:rPr>
      </w:pPr>
      <w:r w:rsidRPr="00EA3215">
        <w:rPr>
          <w:rFonts w:ascii="Tahoma" w:hAnsi="Tahoma" w:cs="Tahoma"/>
          <w:b/>
          <w:color w:val="004C4C" w:themeColor="accent4" w:themeShade="80"/>
          <w:sz w:val="18"/>
          <w:szCs w:val="18"/>
        </w:rPr>
        <w:t>Principe</w:t>
      </w:r>
    </w:p>
    <w:p w14:paraId="7C7A489F" w14:textId="00C85B1C" w:rsidR="00FE1EC4" w:rsidRPr="00EA3215" w:rsidRDefault="00242BF0" w:rsidP="00EA3215">
      <w:pPr>
        <w:tabs>
          <w:tab w:val="left" w:pos="1985"/>
        </w:tabs>
        <w:spacing w:before="0" w:after="0"/>
        <w:jc w:val="both"/>
        <w:rPr>
          <w:rFonts w:ascii="Tahoma" w:hAnsi="Tahoma" w:cs="Tahoma"/>
          <w:bCs/>
          <w:i/>
          <w:iCs/>
          <w:color w:val="004C4C" w:themeColor="accent4" w:themeShade="80"/>
          <w:sz w:val="18"/>
          <w:szCs w:val="18"/>
        </w:rPr>
      </w:pPr>
      <w:r w:rsidRPr="00EA3215">
        <w:rPr>
          <w:rFonts w:ascii="Tahoma" w:hAnsi="Tahoma" w:cs="Tahoma"/>
          <w:bCs/>
          <w:color w:val="004C4C" w:themeColor="accent4" w:themeShade="80"/>
          <w:sz w:val="18"/>
          <w:szCs w:val="18"/>
        </w:rPr>
        <w:t>Cette procédure permet de conclure une convention de participation avec une mutuelle, une institution de prévoyance ou une entreprise d’assurance, après avis d’appel public à la concurrence pour sélectionner une offre répondant aux besoins propres des agents et remplissant les conditions de solidarité prévues par le décret susvisé. Seuls les agents qui choisiront de souscrire à l’offre de l’opérateur sélectionné pourront bénéficier de l'aide financière</w:t>
      </w:r>
      <w:r w:rsidR="00FE1EC4" w:rsidRPr="00EA3215">
        <w:rPr>
          <w:rFonts w:ascii="Tahoma" w:hAnsi="Tahoma" w:cs="Tahoma"/>
          <w:bCs/>
          <w:i/>
          <w:iCs/>
          <w:color w:val="004C4C" w:themeColor="accent4" w:themeShade="80"/>
          <w:sz w:val="18"/>
          <w:szCs w:val="18"/>
        </w:rPr>
        <w:t>.</w:t>
      </w:r>
    </w:p>
    <w:p w14:paraId="6E87C904" w14:textId="4B29D913" w:rsidR="00FE1EC4" w:rsidRPr="00EA3215" w:rsidRDefault="00FE1EC4" w:rsidP="00EA3215">
      <w:pPr>
        <w:tabs>
          <w:tab w:val="left" w:pos="1985"/>
        </w:tabs>
        <w:spacing w:before="0" w:after="0"/>
        <w:jc w:val="both"/>
        <w:rPr>
          <w:rFonts w:ascii="Tahoma" w:hAnsi="Tahoma" w:cs="Tahoma"/>
          <w:bCs/>
          <w:color w:val="004C4C" w:themeColor="accent4" w:themeShade="80"/>
          <w:sz w:val="18"/>
          <w:szCs w:val="18"/>
        </w:rPr>
      </w:pPr>
    </w:p>
    <w:p w14:paraId="1F798160" w14:textId="403156F9" w:rsidR="00FE1EC4" w:rsidRPr="00EA3215" w:rsidRDefault="00FE1EC4" w:rsidP="00EA3215">
      <w:pPr>
        <w:tabs>
          <w:tab w:val="left" w:pos="1985"/>
        </w:tabs>
        <w:spacing w:before="0" w:after="120"/>
        <w:jc w:val="both"/>
        <w:rPr>
          <w:rFonts w:ascii="Tahoma" w:hAnsi="Tahoma" w:cs="Tahoma"/>
          <w:b/>
          <w:color w:val="004C4C" w:themeColor="accent4" w:themeShade="80"/>
          <w:sz w:val="18"/>
          <w:szCs w:val="18"/>
        </w:rPr>
      </w:pPr>
      <w:r w:rsidRPr="00EA3215">
        <w:rPr>
          <w:rFonts w:ascii="Tahoma" w:hAnsi="Tahoma" w:cs="Tahoma"/>
          <w:b/>
          <w:color w:val="004C4C" w:themeColor="accent4" w:themeShade="80"/>
          <w:sz w:val="18"/>
          <w:szCs w:val="18"/>
        </w:rPr>
        <w:t>Textes de référence</w:t>
      </w:r>
    </w:p>
    <w:p w14:paraId="2D2C1E53" w14:textId="1BAD7E52" w:rsidR="00FE1EC4" w:rsidRPr="00EA3215" w:rsidRDefault="00FE1EC4" w:rsidP="00EA3215">
      <w:pPr>
        <w:pStyle w:val="Paragraphedeliste"/>
        <w:numPr>
          <w:ilvl w:val="0"/>
          <w:numId w:val="20"/>
        </w:numPr>
        <w:tabs>
          <w:tab w:val="left" w:pos="1985"/>
        </w:tabs>
        <w:spacing w:before="0" w:after="0"/>
        <w:ind w:left="1134" w:hanging="284"/>
        <w:jc w:val="both"/>
        <w:rPr>
          <w:rFonts w:ascii="Tahoma" w:hAnsi="Tahoma" w:cs="Tahoma"/>
          <w:bCs/>
          <w:color w:val="004C4C" w:themeColor="accent4" w:themeShade="80"/>
          <w:sz w:val="18"/>
          <w:szCs w:val="18"/>
        </w:rPr>
      </w:pPr>
      <w:r w:rsidRPr="00EA3215">
        <w:rPr>
          <w:rFonts w:ascii="Tahoma" w:hAnsi="Tahoma" w:cs="Tahoma"/>
          <w:bCs/>
          <w:color w:val="004C4C" w:themeColor="accent4" w:themeShade="80"/>
          <w:sz w:val="18"/>
          <w:szCs w:val="18"/>
        </w:rPr>
        <w:t>Décret n°2011-1474 du 8 novembre 2011 modifié relatif à la participation des collectivités territoriales et de leurs établissements publics au financement de la protection sociale complémentaire de leurs agents</w:t>
      </w:r>
    </w:p>
    <w:p w14:paraId="713C8C69" w14:textId="5D216B7E" w:rsidR="00FE1EC4" w:rsidRPr="00EA3215" w:rsidRDefault="00FE1EC4" w:rsidP="00EA3215">
      <w:pPr>
        <w:pStyle w:val="Paragraphedeliste"/>
        <w:numPr>
          <w:ilvl w:val="0"/>
          <w:numId w:val="20"/>
        </w:numPr>
        <w:tabs>
          <w:tab w:val="left" w:pos="1985"/>
        </w:tabs>
        <w:spacing w:before="0" w:after="0"/>
        <w:ind w:left="1134" w:hanging="284"/>
        <w:jc w:val="both"/>
        <w:rPr>
          <w:rFonts w:ascii="Tahoma" w:hAnsi="Tahoma" w:cs="Tahoma"/>
          <w:bCs/>
          <w:color w:val="004C4C" w:themeColor="accent4" w:themeShade="80"/>
          <w:sz w:val="18"/>
          <w:szCs w:val="18"/>
        </w:rPr>
      </w:pPr>
      <w:r w:rsidRPr="00EA3215">
        <w:rPr>
          <w:rFonts w:ascii="Tahoma" w:hAnsi="Tahoma" w:cs="Tahoma"/>
          <w:bCs/>
          <w:color w:val="004C4C" w:themeColor="accent4" w:themeShade="80"/>
          <w:sz w:val="18"/>
          <w:szCs w:val="18"/>
        </w:rPr>
        <w:t>Circulaire n°RDFB1220789C du 25 mai 2012 relative à la participation des collectivités territoriales et de leurs établissements publics à la protection sociale complémentaire de leurs agents</w:t>
      </w:r>
    </w:p>
    <w:p w14:paraId="7A4E1885" w14:textId="77777777" w:rsidR="00FE1EC4" w:rsidRPr="00EA3215" w:rsidRDefault="00FE1EC4" w:rsidP="00FE1EC4">
      <w:pPr>
        <w:tabs>
          <w:tab w:val="left" w:pos="1985"/>
        </w:tabs>
        <w:spacing w:before="0" w:after="0"/>
        <w:jc w:val="both"/>
        <w:rPr>
          <w:rFonts w:ascii="Tahoma" w:hAnsi="Tahoma" w:cs="Tahoma"/>
          <w:bCs/>
          <w:color w:val="004C4C" w:themeColor="accent4" w:themeShade="80"/>
          <w:sz w:val="10"/>
          <w:szCs w:val="10"/>
        </w:rPr>
      </w:pPr>
    </w:p>
    <w:p w14:paraId="1D2C6E67" w14:textId="6E0A573F" w:rsidR="001D7079" w:rsidRPr="00B927C8" w:rsidRDefault="00FE1EC4" w:rsidP="00EA3215">
      <w:pPr>
        <w:pStyle w:val="Titre3"/>
        <w:spacing w:before="120" w:after="120"/>
        <w:rPr>
          <w:rFonts w:ascii="Century Gothic" w:hAnsi="Century Gothic"/>
          <w:color w:val="009999" w:themeColor="accent4"/>
          <w:sz w:val="36"/>
        </w:rPr>
      </w:pPr>
      <w:r>
        <w:rPr>
          <w:rFonts w:ascii="Century Gothic" w:hAnsi="Century Gothic"/>
          <w:color w:val="009999" w:themeColor="accent4"/>
          <w:sz w:val="36"/>
        </w:rPr>
        <w:t>VOTRE IDENTITE</w:t>
      </w:r>
    </w:p>
    <w:p w14:paraId="39F7AEA3" w14:textId="77777777" w:rsidR="00FE1EC4" w:rsidRDefault="00C22C00" w:rsidP="00FE1EC4">
      <w:pPr>
        <w:tabs>
          <w:tab w:val="left" w:pos="7088"/>
        </w:tabs>
        <w:spacing w:line="360" w:lineRule="auto"/>
        <w:rPr>
          <w:rFonts w:ascii="Tahoma" w:hAnsi="Tahoma" w:cs="Tahoma"/>
          <w:sz w:val="22"/>
          <w:szCs w:val="24"/>
        </w:rPr>
      </w:pPr>
      <w:r w:rsidRPr="0044106B">
        <w:rPr>
          <w:rFonts w:ascii="Tahoma" w:hAnsi="Tahoma" w:cs="Tahoma"/>
          <w:b/>
          <w:sz w:val="22"/>
          <w:szCs w:val="24"/>
        </w:rPr>
        <w:t>Nom de la collectivité</w:t>
      </w:r>
      <w:r w:rsidRPr="006F6E70">
        <w:rPr>
          <w:rFonts w:ascii="Tahoma" w:hAnsi="Tahoma" w:cs="Tahoma"/>
          <w:sz w:val="22"/>
          <w:szCs w:val="24"/>
        </w:rPr>
        <w:t xml:space="preserve"> :</w:t>
      </w:r>
      <w:r w:rsidR="004748CD" w:rsidRPr="004748CD">
        <w:rPr>
          <w:rFonts w:ascii="Tahoma" w:hAnsi="Tahoma" w:cs="Tahoma"/>
          <w:sz w:val="22"/>
          <w:szCs w:val="24"/>
        </w:rPr>
        <w:t xml:space="preserve"> </w:t>
      </w:r>
      <w:permStart w:id="335508107" w:edGrp="everyone"/>
      <w:r w:rsidR="00EF0EA7" w:rsidRPr="00EA3215">
        <w:rPr>
          <w:rFonts w:ascii="Tahoma" w:hAnsi="Tahoma" w:cs="Tahoma"/>
          <w:b/>
          <w:sz w:val="22"/>
        </w:rPr>
        <w:fldChar w:fldCharType="begin">
          <w:ffData>
            <w:name w:val=""/>
            <w:enabled/>
            <w:calcOnExit w:val="0"/>
            <w:textInput>
              <w:default w:val="............"/>
            </w:textInput>
          </w:ffData>
        </w:fldChar>
      </w:r>
      <w:r w:rsidR="00EF0EA7" w:rsidRPr="00EA3215">
        <w:rPr>
          <w:rFonts w:ascii="Tahoma" w:hAnsi="Tahoma" w:cs="Tahoma"/>
          <w:b/>
          <w:sz w:val="22"/>
        </w:rPr>
        <w:instrText xml:space="preserve"> FORMTEXT </w:instrText>
      </w:r>
      <w:r w:rsidR="00EF0EA7" w:rsidRPr="00EA3215">
        <w:rPr>
          <w:rFonts w:ascii="Tahoma" w:hAnsi="Tahoma" w:cs="Tahoma"/>
          <w:b/>
          <w:sz w:val="22"/>
        </w:rPr>
      </w:r>
      <w:r w:rsidR="00EF0EA7" w:rsidRPr="00EA3215">
        <w:rPr>
          <w:rFonts w:ascii="Tahoma" w:hAnsi="Tahoma" w:cs="Tahoma"/>
          <w:b/>
          <w:sz w:val="22"/>
        </w:rPr>
        <w:fldChar w:fldCharType="separate"/>
      </w:r>
      <w:r w:rsidR="00EF0EA7" w:rsidRPr="00EA3215">
        <w:rPr>
          <w:rFonts w:ascii="Tahoma" w:hAnsi="Tahoma" w:cs="Tahoma"/>
          <w:b/>
          <w:noProof/>
          <w:sz w:val="22"/>
        </w:rPr>
        <w:t>............</w:t>
      </w:r>
      <w:r w:rsidR="00EF0EA7" w:rsidRPr="00EA3215">
        <w:rPr>
          <w:rFonts w:ascii="Tahoma" w:hAnsi="Tahoma" w:cs="Tahoma"/>
          <w:b/>
          <w:sz w:val="22"/>
        </w:rPr>
        <w:fldChar w:fldCharType="end"/>
      </w:r>
      <w:permEnd w:id="335508107"/>
      <w:r w:rsidR="00B522FD" w:rsidRPr="006F6E70">
        <w:rPr>
          <w:rFonts w:ascii="Tahoma" w:hAnsi="Tahoma" w:cs="Tahoma"/>
          <w:sz w:val="22"/>
          <w:szCs w:val="24"/>
        </w:rPr>
        <w:tab/>
      </w:r>
    </w:p>
    <w:p w14:paraId="5D753DB3" w14:textId="10730DA6" w:rsidR="00C22C00" w:rsidRPr="00EA3215" w:rsidRDefault="00C22C00" w:rsidP="00EA3215">
      <w:pPr>
        <w:tabs>
          <w:tab w:val="left" w:pos="7088"/>
        </w:tabs>
        <w:spacing w:after="0" w:line="240" w:lineRule="auto"/>
        <w:rPr>
          <w:rFonts w:ascii="Tahoma" w:hAnsi="Tahoma" w:cs="Tahoma"/>
        </w:rPr>
      </w:pPr>
      <w:r w:rsidRPr="00EA3215">
        <w:rPr>
          <w:rFonts w:ascii="Tahoma" w:hAnsi="Tahoma" w:cs="Tahoma"/>
        </w:rPr>
        <w:t>Affaire suivie par :</w:t>
      </w:r>
      <w:r w:rsidR="004748CD" w:rsidRPr="00EA3215">
        <w:rPr>
          <w:rFonts w:ascii="Tahoma" w:hAnsi="Tahoma" w:cs="Tahoma"/>
        </w:rPr>
        <w:t xml:space="preserve"> </w:t>
      </w:r>
      <w:permStart w:id="378811842" w:edGrp="everyone"/>
      <w:r w:rsidR="004C06F8" w:rsidRPr="00EA3215">
        <w:rPr>
          <w:rFonts w:ascii="Tahoma" w:hAnsi="Tahoma" w:cs="Tahoma"/>
          <w:bCs/>
        </w:rPr>
        <w:fldChar w:fldCharType="begin">
          <w:ffData>
            <w:name w:val=""/>
            <w:enabled/>
            <w:calcOnExit w:val="0"/>
            <w:textInput>
              <w:default w:val="............"/>
            </w:textInput>
          </w:ffData>
        </w:fldChar>
      </w:r>
      <w:r w:rsidR="004C06F8" w:rsidRPr="00EA3215">
        <w:rPr>
          <w:rFonts w:ascii="Tahoma" w:hAnsi="Tahoma" w:cs="Tahoma"/>
          <w:bCs/>
        </w:rPr>
        <w:instrText xml:space="preserve"> FORMTEXT </w:instrText>
      </w:r>
      <w:r w:rsidR="004C06F8" w:rsidRPr="00EA3215">
        <w:rPr>
          <w:rFonts w:ascii="Tahoma" w:hAnsi="Tahoma" w:cs="Tahoma"/>
          <w:bCs/>
        </w:rPr>
      </w:r>
      <w:r w:rsidR="004C06F8" w:rsidRPr="00EA3215">
        <w:rPr>
          <w:rFonts w:ascii="Tahoma" w:hAnsi="Tahoma" w:cs="Tahoma"/>
          <w:bCs/>
        </w:rPr>
        <w:fldChar w:fldCharType="separate"/>
      </w:r>
      <w:r w:rsidR="004C06F8" w:rsidRPr="00EA3215">
        <w:rPr>
          <w:rFonts w:ascii="Tahoma" w:hAnsi="Tahoma" w:cs="Tahoma"/>
          <w:bCs/>
          <w:noProof/>
        </w:rPr>
        <w:t>............</w:t>
      </w:r>
      <w:r w:rsidR="004C06F8" w:rsidRPr="00EA3215">
        <w:rPr>
          <w:rFonts w:ascii="Tahoma" w:hAnsi="Tahoma" w:cs="Tahoma"/>
          <w:bCs/>
        </w:rPr>
        <w:fldChar w:fldCharType="end"/>
      </w:r>
      <w:permEnd w:id="378811842"/>
    </w:p>
    <w:p w14:paraId="4008DE58" w14:textId="72A0B1BC" w:rsidR="006F6E70" w:rsidRPr="00EA3215" w:rsidRDefault="00C22C00" w:rsidP="00EA3215">
      <w:pPr>
        <w:tabs>
          <w:tab w:val="left" w:pos="5387"/>
        </w:tabs>
        <w:spacing w:before="120" w:after="120" w:line="480" w:lineRule="auto"/>
        <w:rPr>
          <w:rFonts w:ascii="Tahoma" w:hAnsi="Tahoma" w:cs="Tahoma"/>
        </w:rPr>
      </w:pPr>
      <w:r w:rsidRPr="00EA3215">
        <w:rPr>
          <w:rFonts w:ascii="Tahoma" w:hAnsi="Tahoma" w:cs="Tahoma"/>
        </w:rPr>
        <w:t>Téléphone (ligne directe) :</w:t>
      </w:r>
      <w:r w:rsidR="004748CD" w:rsidRPr="00EA3215">
        <w:rPr>
          <w:rFonts w:ascii="Tahoma" w:hAnsi="Tahoma" w:cs="Tahoma"/>
        </w:rPr>
        <w:t xml:space="preserve"> </w:t>
      </w:r>
      <w:permStart w:id="1483674386" w:edGrp="everyone"/>
      <w:r w:rsidR="004C06F8" w:rsidRPr="00EA3215">
        <w:rPr>
          <w:rFonts w:ascii="Tahoma" w:hAnsi="Tahoma" w:cs="Tahoma"/>
          <w:bCs/>
        </w:rPr>
        <w:fldChar w:fldCharType="begin">
          <w:ffData>
            <w:name w:val=""/>
            <w:enabled/>
            <w:calcOnExit w:val="0"/>
            <w:textInput>
              <w:default w:val="............"/>
            </w:textInput>
          </w:ffData>
        </w:fldChar>
      </w:r>
      <w:r w:rsidR="004C06F8" w:rsidRPr="00EA3215">
        <w:rPr>
          <w:rFonts w:ascii="Tahoma" w:hAnsi="Tahoma" w:cs="Tahoma"/>
          <w:bCs/>
        </w:rPr>
        <w:instrText xml:space="preserve"> FORMTEXT </w:instrText>
      </w:r>
      <w:r w:rsidR="004C06F8" w:rsidRPr="00EA3215">
        <w:rPr>
          <w:rFonts w:ascii="Tahoma" w:hAnsi="Tahoma" w:cs="Tahoma"/>
          <w:bCs/>
        </w:rPr>
      </w:r>
      <w:r w:rsidR="004C06F8" w:rsidRPr="00EA3215">
        <w:rPr>
          <w:rFonts w:ascii="Tahoma" w:hAnsi="Tahoma" w:cs="Tahoma"/>
          <w:bCs/>
        </w:rPr>
        <w:fldChar w:fldCharType="separate"/>
      </w:r>
      <w:r w:rsidR="004C06F8" w:rsidRPr="00EA3215">
        <w:rPr>
          <w:rFonts w:ascii="Tahoma" w:hAnsi="Tahoma" w:cs="Tahoma"/>
          <w:bCs/>
          <w:noProof/>
        </w:rPr>
        <w:t>............</w:t>
      </w:r>
      <w:r w:rsidR="004C06F8" w:rsidRPr="00EA3215">
        <w:rPr>
          <w:rFonts w:ascii="Tahoma" w:hAnsi="Tahoma" w:cs="Tahoma"/>
          <w:bCs/>
        </w:rPr>
        <w:fldChar w:fldCharType="end"/>
      </w:r>
      <w:permEnd w:id="1483674386"/>
      <w:r w:rsidR="00EA3215" w:rsidRPr="00EA3215">
        <w:rPr>
          <w:rFonts w:ascii="Tahoma" w:hAnsi="Tahoma" w:cs="Tahoma"/>
        </w:rPr>
        <w:tab/>
      </w:r>
      <w:proofErr w:type="gramStart"/>
      <w:r w:rsidRPr="00EA3215">
        <w:rPr>
          <w:rFonts w:ascii="Tahoma" w:hAnsi="Tahoma" w:cs="Tahoma"/>
        </w:rPr>
        <w:t>Email</w:t>
      </w:r>
      <w:proofErr w:type="gramEnd"/>
      <w:r w:rsidRPr="00EA3215">
        <w:rPr>
          <w:rFonts w:ascii="Tahoma" w:hAnsi="Tahoma" w:cs="Tahoma"/>
        </w:rPr>
        <w:t xml:space="preserve"> : </w:t>
      </w:r>
      <w:permStart w:id="686771272" w:edGrp="everyone"/>
      <w:r w:rsidR="004C06F8" w:rsidRPr="00EA3215">
        <w:rPr>
          <w:rFonts w:ascii="Tahoma" w:hAnsi="Tahoma" w:cs="Tahoma"/>
          <w:bCs/>
        </w:rPr>
        <w:fldChar w:fldCharType="begin">
          <w:ffData>
            <w:name w:val=""/>
            <w:enabled/>
            <w:calcOnExit w:val="0"/>
            <w:textInput>
              <w:default w:val="............"/>
            </w:textInput>
          </w:ffData>
        </w:fldChar>
      </w:r>
      <w:r w:rsidR="004C06F8" w:rsidRPr="00EA3215">
        <w:rPr>
          <w:rFonts w:ascii="Tahoma" w:hAnsi="Tahoma" w:cs="Tahoma"/>
          <w:bCs/>
        </w:rPr>
        <w:instrText xml:space="preserve"> FORMTEXT </w:instrText>
      </w:r>
      <w:r w:rsidR="004C06F8" w:rsidRPr="00EA3215">
        <w:rPr>
          <w:rFonts w:ascii="Tahoma" w:hAnsi="Tahoma" w:cs="Tahoma"/>
          <w:bCs/>
        </w:rPr>
      </w:r>
      <w:r w:rsidR="004C06F8" w:rsidRPr="00EA3215">
        <w:rPr>
          <w:rFonts w:ascii="Tahoma" w:hAnsi="Tahoma" w:cs="Tahoma"/>
          <w:bCs/>
        </w:rPr>
        <w:fldChar w:fldCharType="separate"/>
      </w:r>
      <w:r w:rsidR="004C06F8" w:rsidRPr="00EA3215">
        <w:rPr>
          <w:rFonts w:ascii="Tahoma" w:hAnsi="Tahoma" w:cs="Tahoma"/>
          <w:bCs/>
          <w:noProof/>
        </w:rPr>
        <w:t>............</w:t>
      </w:r>
      <w:r w:rsidR="004C06F8" w:rsidRPr="00EA3215">
        <w:rPr>
          <w:rFonts w:ascii="Tahoma" w:hAnsi="Tahoma" w:cs="Tahoma"/>
          <w:bCs/>
        </w:rPr>
        <w:fldChar w:fldCharType="end"/>
      </w:r>
      <w:permEnd w:id="686771272"/>
    </w:p>
    <w:p w14:paraId="51D446E7" w14:textId="3DA65C17" w:rsidR="00B522FD" w:rsidRDefault="00FE1EC4" w:rsidP="00EA3215">
      <w:pPr>
        <w:pStyle w:val="Titre3"/>
        <w:spacing w:before="0"/>
        <w:rPr>
          <w:rFonts w:ascii="Century Gothic" w:hAnsi="Century Gothic"/>
          <w:color w:val="009999" w:themeColor="accent4"/>
          <w:sz w:val="36"/>
        </w:rPr>
      </w:pPr>
      <w:r>
        <w:rPr>
          <w:rFonts w:ascii="Century Gothic" w:hAnsi="Century Gothic"/>
          <w:color w:val="009999" w:themeColor="accent4"/>
          <w:sz w:val="36"/>
        </w:rPr>
        <w:t>DETAILS DE VOTRE SAISINE</w:t>
      </w:r>
    </w:p>
    <w:p w14:paraId="3227B26D" w14:textId="77777777" w:rsidR="00400B4D" w:rsidRPr="00EA3215" w:rsidRDefault="00400B4D" w:rsidP="00400B4D">
      <w:pPr>
        <w:spacing w:before="0" w:after="0"/>
        <w:rPr>
          <w:sz w:val="10"/>
          <w:szCs w:val="10"/>
        </w:rPr>
      </w:pPr>
    </w:p>
    <w:tbl>
      <w:tblPr>
        <w:tblW w:w="10813" w:type="dxa"/>
        <w:jc w:val="center"/>
        <w:tblBorders>
          <w:insideH w:val="dotted" w:sz="4" w:space="0" w:color="D57284" w:themeColor="accent2"/>
          <w:insideV w:val="dotted" w:sz="4" w:space="0" w:color="D57284" w:themeColor="accent2"/>
        </w:tblBorders>
        <w:tblCellMar>
          <w:top w:w="57" w:type="dxa"/>
          <w:bottom w:w="57" w:type="dxa"/>
        </w:tblCellMar>
        <w:tblLook w:val="04A0" w:firstRow="1" w:lastRow="0" w:firstColumn="1" w:lastColumn="0" w:noHBand="0" w:noVBand="1"/>
      </w:tblPr>
      <w:tblGrid>
        <w:gridCol w:w="3966"/>
        <w:gridCol w:w="6847"/>
      </w:tblGrid>
      <w:tr w:rsidR="002F1AFB" w:rsidRPr="00EA3215" w14:paraId="285B0066" w14:textId="77777777" w:rsidTr="009C05FE">
        <w:trPr>
          <w:cantSplit/>
          <w:jc w:val="center"/>
        </w:trPr>
        <w:tc>
          <w:tcPr>
            <w:tcW w:w="3966" w:type="dxa"/>
            <w:shd w:val="clear" w:color="auto" w:fill="auto"/>
          </w:tcPr>
          <w:p w14:paraId="21A88FD4" w14:textId="77777777" w:rsidR="002F1AFB" w:rsidRPr="00EA3215" w:rsidRDefault="002F1AFB" w:rsidP="002F1AFB">
            <w:pPr>
              <w:tabs>
                <w:tab w:val="left" w:pos="2268"/>
                <w:tab w:val="left" w:pos="2552"/>
              </w:tabs>
              <w:spacing w:before="0" w:after="0" w:line="240" w:lineRule="auto"/>
              <w:rPr>
                <w:rFonts w:ascii="Tahoma" w:eastAsia="Times New Roman" w:hAnsi="Tahoma" w:cs="Tahoma"/>
                <w:b/>
              </w:rPr>
            </w:pPr>
            <w:r w:rsidRPr="00EA3215">
              <w:rPr>
                <w:rFonts w:ascii="Tahoma" w:eastAsia="Times New Roman" w:hAnsi="Tahoma" w:cs="Tahoma"/>
                <w:b/>
              </w:rPr>
              <w:t>Date d’effet</w:t>
            </w:r>
          </w:p>
        </w:tc>
        <w:permStart w:id="574780551" w:edGrp="everyone"/>
        <w:tc>
          <w:tcPr>
            <w:tcW w:w="6847" w:type="dxa"/>
            <w:shd w:val="clear" w:color="auto" w:fill="auto"/>
          </w:tcPr>
          <w:p w14:paraId="5AA2887D" w14:textId="6F36AE61" w:rsidR="002F1AFB" w:rsidRPr="00EA3215" w:rsidRDefault="002F1AFB" w:rsidP="002F1AFB">
            <w:pPr>
              <w:tabs>
                <w:tab w:val="left" w:pos="2268"/>
                <w:tab w:val="left" w:pos="2552"/>
              </w:tabs>
              <w:spacing w:before="0" w:after="0" w:line="240" w:lineRule="auto"/>
              <w:jc w:val="both"/>
              <w:rPr>
                <w:rFonts w:ascii="Tahoma" w:eastAsia="Times New Roman" w:hAnsi="Tahoma" w:cs="Tahoma"/>
                <w:b/>
              </w:rPr>
            </w:pPr>
            <w:r w:rsidRPr="00EA3215">
              <w:rPr>
                <w:rFonts w:ascii="Tahoma" w:hAnsi="Tahoma" w:cs="Tahoma"/>
                <w:b/>
              </w:rPr>
              <w:fldChar w:fldCharType="begin">
                <w:ffData>
                  <w:name w:val=""/>
                  <w:enabled/>
                  <w:calcOnExit w:val="0"/>
                  <w:textInput>
                    <w:default w:val="............"/>
                  </w:textInput>
                </w:ffData>
              </w:fldChar>
            </w:r>
            <w:r w:rsidRPr="00EA3215">
              <w:rPr>
                <w:rFonts w:ascii="Tahoma" w:hAnsi="Tahoma" w:cs="Tahoma"/>
                <w:b/>
              </w:rPr>
              <w:instrText xml:space="preserve"> FORMTEXT </w:instrText>
            </w:r>
            <w:r w:rsidRPr="00EA3215">
              <w:rPr>
                <w:rFonts w:ascii="Tahoma" w:hAnsi="Tahoma" w:cs="Tahoma"/>
                <w:b/>
              </w:rPr>
            </w:r>
            <w:r w:rsidRPr="00EA3215">
              <w:rPr>
                <w:rFonts w:ascii="Tahoma" w:hAnsi="Tahoma" w:cs="Tahoma"/>
                <w:b/>
              </w:rPr>
              <w:fldChar w:fldCharType="separate"/>
            </w:r>
            <w:r w:rsidRPr="00EA3215">
              <w:rPr>
                <w:rFonts w:ascii="Tahoma" w:hAnsi="Tahoma" w:cs="Tahoma"/>
                <w:b/>
                <w:noProof/>
              </w:rPr>
              <w:t>............</w:t>
            </w:r>
            <w:r w:rsidRPr="00EA3215">
              <w:rPr>
                <w:rFonts w:ascii="Tahoma" w:hAnsi="Tahoma" w:cs="Tahoma"/>
                <w:b/>
              </w:rPr>
              <w:fldChar w:fldCharType="end"/>
            </w:r>
            <w:permEnd w:id="574780551"/>
          </w:p>
        </w:tc>
      </w:tr>
      <w:tr w:rsidR="002F1AFB" w:rsidRPr="00EA3215" w14:paraId="7C13565D" w14:textId="77777777" w:rsidTr="009C05FE">
        <w:trPr>
          <w:cantSplit/>
          <w:jc w:val="center"/>
        </w:trPr>
        <w:tc>
          <w:tcPr>
            <w:tcW w:w="3966" w:type="dxa"/>
            <w:shd w:val="clear" w:color="auto" w:fill="auto"/>
          </w:tcPr>
          <w:p w14:paraId="462B0C7D" w14:textId="77777777" w:rsidR="002F1AFB" w:rsidRPr="00EA3215" w:rsidRDefault="002F1AFB" w:rsidP="002F1AFB">
            <w:pPr>
              <w:tabs>
                <w:tab w:val="left" w:pos="2268"/>
                <w:tab w:val="left" w:pos="2552"/>
              </w:tabs>
              <w:spacing w:before="0" w:after="0" w:line="240" w:lineRule="auto"/>
              <w:rPr>
                <w:rFonts w:ascii="Tahoma" w:eastAsia="Times New Roman" w:hAnsi="Tahoma" w:cs="Tahoma"/>
                <w:b/>
              </w:rPr>
            </w:pPr>
            <w:r w:rsidRPr="00EA3215">
              <w:rPr>
                <w:rFonts w:ascii="Tahoma" w:eastAsia="Times New Roman" w:hAnsi="Tahoma" w:cs="Tahoma"/>
                <w:b/>
              </w:rPr>
              <w:t>Organisme retenu</w:t>
            </w:r>
          </w:p>
        </w:tc>
        <w:tc>
          <w:tcPr>
            <w:tcW w:w="6847" w:type="dxa"/>
            <w:shd w:val="clear" w:color="auto" w:fill="auto"/>
          </w:tcPr>
          <w:p w14:paraId="7C8B0387" w14:textId="77777777" w:rsidR="002F1AFB" w:rsidRPr="00EA3215" w:rsidRDefault="002F1AFB" w:rsidP="002F1AFB">
            <w:pPr>
              <w:tabs>
                <w:tab w:val="left" w:pos="2268"/>
                <w:tab w:val="left" w:pos="2552"/>
              </w:tabs>
              <w:spacing w:before="0" w:after="0" w:line="240" w:lineRule="auto"/>
              <w:jc w:val="both"/>
              <w:rPr>
                <w:rFonts w:ascii="Tahoma" w:eastAsia="Times New Roman" w:hAnsi="Tahoma" w:cs="Tahoma"/>
                <w:bCs/>
              </w:rPr>
            </w:pPr>
            <w:r w:rsidRPr="00EA3215">
              <w:rPr>
                <w:rFonts w:ascii="Tahoma" w:eastAsia="Times New Roman" w:hAnsi="Tahoma" w:cs="Tahoma"/>
                <w:bCs/>
              </w:rPr>
              <w:t>Intériale - Willis Towers Watson</w:t>
            </w:r>
          </w:p>
        </w:tc>
      </w:tr>
      <w:tr w:rsidR="002F1AFB" w:rsidRPr="00EA3215" w14:paraId="5CABC6AD" w14:textId="77777777" w:rsidTr="009C05FE">
        <w:trPr>
          <w:cantSplit/>
          <w:jc w:val="center"/>
        </w:trPr>
        <w:tc>
          <w:tcPr>
            <w:tcW w:w="3966" w:type="dxa"/>
            <w:shd w:val="clear" w:color="auto" w:fill="auto"/>
          </w:tcPr>
          <w:p w14:paraId="0CE52599" w14:textId="77777777" w:rsidR="002F1AFB" w:rsidRPr="00EA3215" w:rsidRDefault="002F1AFB" w:rsidP="002F1AFB">
            <w:pPr>
              <w:tabs>
                <w:tab w:val="left" w:pos="2268"/>
                <w:tab w:val="left" w:pos="2552"/>
              </w:tabs>
              <w:spacing w:before="0" w:after="0" w:line="240" w:lineRule="auto"/>
              <w:rPr>
                <w:rFonts w:ascii="Tahoma" w:eastAsia="Times New Roman" w:hAnsi="Tahoma" w:cs="Tahoma"/>
                <w:b/>
              </w:rPr>
            </w:pPr>
            <w:r w:rsidRPr="00EA3215">
              <w:rPr>
                <w:rFonts w:ascii="Tahoma" w:eastAsia="Times New Roman" w:hAnsi="Tahoma" w:cs="Tahoma"/>
                <w:b/>
              </w:rPr>
              <w:t>Caractéristiques du contrat</w:t>
            </w:r>
          </w:p>
        </w:tc>
        <w:tc>
          <w:tcPr>
            <w:tcW w:w="6847" w:type="dxa"/>
            <w:shd w:val="clear" w:color="auto" w:fill="auto"/>
          </w:tcPr>
          <w:p w14:paraId="4DE02324" w14:textId="77777777" w:rsidR="002F1AFB" w:rsidRPr="00EA3215" w:rsidRDefault="002F1AFB" w:rsidP="002F1AFB">
            <w:pPr>
              <w:tabs>
                <w:tab w:val="left" w:pos="0"/>
              </w:tabs>
              <w:spacing w:before="0" w:after="0" w:line="240" w:lineRule="auto"/>
              <w:jc w:val="both"/>
              <w:rPr>
                <w:rFonts w:ascii="Tahoma" w:eastAsia="Times New Roman" w:hAnsi="Tahoma" w:cs="Tahoma"/>
                <w:b/>
                <w:bCs/>
              </w:rPr>
            </w:pPr>
            <w:r w:rsidRPr="00EA3215">
              <w:rPr>
                <w:rFonts w:ascii="Tahoma" w:eastAsia="Times New Roman" w:hAnsi="Tahoma" w:cs="Tahoma"/>
                <w:b/>
                <w:bCs/>
                <w:u w:val="single"/>
              </w:rPr>
              <w:t>Garantie de base</w:t>
            </w:r>
            <w:r w:rsidRPr="00EA3215">
              <w:rPr>
                <w:rFonts w:ascii="Tahoma" w:eastAsia="Times New Roman" w:hAnsi="Tahoma" w:cs="Tahoma"/>
                <w:b/>
                <w:bCs/>
              </w:rPr>
              <w:t> :</w:t>
            </w:r>
          </w:p>
          <w:p w14:paraId="62FF1CB8" w14:textId="77777777" w:rsidR="002F1AFB" w:rsidRPr="00EA3215" w:rsidRDefault="002F1AFB" w:rsidP="00EA3215">
            <w:pPr>
              <w:tabs>
                <w:tab w:val="left" w:pos="0"/>
              </w:tabs>
              <w:spacing w:before="60" w:after="0" w:line="240" w:lineRule="auto"/>
              <w:jc w:val="both"/>
              <w:rPr>
                <w:rFonts w:ascii="Tahoma" w:eastAsia="Times New Roman" w:hAnsi="Tahoma" w:cs="Tahoma"/>
                <w:b/>
                <w:bCs/>
              </w:rPr>
            </w:pPr>
            <w:r w:rsidRPr="00EA3215">
              <w:rPr>
                <w:rFonts w:ascii="Tahoma" w:eastAsia="Times New Roman" w:hAnsi="Tahoma" w:cs="Tahoma"/>
                <w:b/>
                <w:bCs/>
              </w:rPr>
              <w:t>Maintien du salaire en cas d’incapacité temporaire de travail avec ou sans les primes (au choix de l’agent)</w:t>
            </w:r>
          </w:p>
          <w:p w14:paraId="6FFDBC1F" w14:textId="77777777" w:rsidR="002F1AFB" w:rsidRPr="00EA3215" w:rsidRDefault="002F1AFB" w:rsidP="002F1AFB">
            <w:pPr>
              <w:tabs>
                <w:tab w:val="left" w:pos="0"/>
              </w:tabs>
              <w:spacing w:before="0" w:after="0" w:line="240" w:lineRule="auto"/>
              <w:jc w:val="both"/>
              <w:rPr>
                <w:rFonts w:ascii="Tahoma" w:eastAsia="Times New Roman" w:hAnsi="Tahoma" w:cs="Tahoma"/>
                <w:i/>
                <w:iCs/>
              </w:rPr>
            </w:pPr>
            <w:r w:rsidRPr="00EA3215">
              <w:rPr>
                <w:rFonts w:ascii="Tahoma" w:eastAsia="Times New Roman" w:hAnsi="Tahoma" w:cs="Tahoma"/>
                <w:i/>
                <w:iCs/>
              </w:rPr>
              <w:t>à hauteur de 95 % du salaire net</w:t>
            </w:r>
          </w:p>
          <w:p w14:paraId="7426E612" w14:textId="77777777" w:rsidR="002F1AFB" w:rsidRPr="00EA3215" w:rsidRDefault="002F1AFB" w:rsidP="002F1AFB">
            <w:pPr>
              <w:tabs>
                <w:tab w:val="left" w:pos="0"/>
              </w:tabs>
              <w:spacing w:before="0" w:after="0" w:line="240" w:lineRule="auto"/>
              <w:jc w:val="both"/>
              <w:rPr>
                <w:rFonts w:ascii="Tahoma" w:eastAsia="Times New Roman" w:hAnsi="Tahoma" w:cs="Tahoma"/>
              </w:rPr>
            </w:pPr>
          </w:p>
          <w:p w14:paraId="135547A3" w14:textId="77777777" w:rsidR="002F1AFB" w:rsidRPr="00EA3215" w:rsidRDefault="002F1AFB" w:rsidP="002F1AFB">
            <w:pPr>
              <w:tabs>
                <w:tab w:val="left" w:pos="0"/>
              </w:tabs>
              <w:spacing w:before="0" w:after="0" w:line="240" w:lineRule="auto"/>
              <w:jc w:val="both"/>
              <w:rPr>
                <w:rFonts w:ascii="Tahoma" w:eastAsia="Times New Roman" w:hAnsi="Tahoma" w:cs="Tahoma"/>
                <w:b/>
                <w:bCs/>
              </w:rPr>
            </w:pPr>
            <w:r w:rsidRPr="00EA3215">
              <w:rPr>
                <w:rFonts w:ascii="Tahoma" w:eastAsia="Times New Roman" w:hAnsi="Tahoma" w:cs="Tahoma"/>
                <w:b/>
                <w:bCs/>
                <w:u w:val="single"/>
              </w:rPr>
              <w:t>Au choix de l’agent, garanties optionnelles</w:t>
            </w:r>
            <w:r w:rsidRPr="00EA3215">
              <w:rPr>
                <w:rFonts w:ascii="Tahoma" w:eastAsia="Times New Roman" w:hAnsi="Tahoma" w:cs="Tahoma"/>
                <w:b/>
                <w:bCs/>
              </w:rPr>
              <w:t> :</w:t>
            </w:r>
          </w:p>
          <w:p w14:paraId="19A395DE" w14:textId="77777777" w:rsidR="002F1AFB" w:rsidRPr="00EA3215" w:rsidRDefault="002F1AFB" w:rsidP="00EA3215">
            <w:pPr>
              <w:tabs>
                <w:tab w:val="left" w:pos="480"/>
              </w:tabs>
              <w:spacing w:before="60" w:after="0" w:line="240" w:lineRule="auto"/>
              <w:ind w:left="197"/>
              <w:jc w:val="both"/>
              <w:rPr>
                <w:rFonts w:ascii="Tahoma" w:eastAsia="Times New Roman" w:hAnsi="Tahoma" w:cs="Tahoma"/>
                <w:b/>
                <w:bCs/>
              </w:rPr>
            </w:pPr>
            <w:r w:rsidRPr="00EA3215">
              <w:rPr>
                <w:rFonts w:ascii="Tahoma" w:eastAsia="Times New Roman" w:hAnsi="Tahoma" w:cs="Tahoma"/>
                <w:b/>
                <w:bCs/>
              </w:rPr>
              <w:t xml:space="preserve">1) </w:t>
            </w:r>
            <w:r w:rsidRPr="00EA3215">
              <w:rPr>
                <w:rFonts w:ascii="Tahoma" w:eastAsia="Times New Roman" w:hAnsi="Tahoma" w:cs="Tahoma"/>
                <w:b/>
                <w:bCs/>
              </w:rPr>
              <w:tab/>
              <w:t>Maintien de salaire en cas d’invalidité permanente</w:t>
            </w:r>
          </w:p>
          <w:p w14:paraId="33B92BDB" w14:textId="77777777" w:rsidR="002F1AFB" w:rsidRPr="00EA3215" w:rsidRDefault="002F1AFB" w:rsidP="002F1AFB">
            <w:pPr>
              <w:spacing w:before="0" w:after="0" w:line="240" w:lineRule="auto"/>
              <w:ind w:left="480"/>
              <w:jc w:val="both"/>
              <w:rPr>
                <w:rFonts w:ascii="Tahoma" w:eastAsia="Times New Roman" w:hAnsi="Tahoma" w:cs="Tahoma"/>
                <w:i/>
                <w:iCs/>
              </w:rPr>
            </w:pPr>
            <w:r w:rsidRPr="00EA3215">
              <w:rPr>
                <w:rFonts w:ascii="Tahoma" w:eastAsia="Times New Roman" w:hAnsi="Tahoma" w:cs="Tahoma"/>
                <w:i/>
                <w:iCs/>
              </w:rPr>
              <w:t>95 % du salaire net de référence (TIB + NBI ou TIB + NBI + RI) jusqu’à l’âge légal de départ à la retraite</w:t>
            </w:r>
          </w:p>
          <w:p w14:paraId="29594FAB" w14:textId="77777777" w:rsidR="002F1AFB" w:rsidRPr="00EA3215" w:rsidRDefault="002F1AFB" w:rsidP="00EA3215">
            <w:pPr>
              <w:tabs>
                <w:tab w:val="left" w:pos="480"/>
              </w:tabs>
              <w:spacing w:before="60" w:after="0" w:line="240" w:lineRule="auto"/>
              <w:ind w:left="197"/>
              <w:jc w:val="both"/>
              <w:rPr>
                <w:rFonts w:ascii="Tahoma" w:eastAsia="Times New Roman" w:hAnsi="Tahoma" w:cs="Tahoma"/>
                <w:b/>
                <w:bCs/>
              </w:rPr>
            </w:pPr>
            <w:r w:rsidRPr="00EA3215">
              <w:rPr>
                <w:rFonts w:ascii="Tahoma" w:eastAsia="Times New Roman" w:hAnsi="Tahoma" w:cs="Tahoma"/>
                <w:b/>
                <w:bCs/>
              </w:rPr>
              <w:t xml:space="preserve">2) </w:t>
            </w:r>
            <w:r w:rsidRPr="00EA3215">
              <w:rPr>
                <w:rFonts w:ascii="Tahoma" w:eastAsia="Times New Roman" w:hAnsi="Tahoma" w:cs="Tahoma"/>
                <w:b/>
                <w:bCs/>
              </w:rPr>
              <w:tab/>
              <w:t>Perte de retraite suite à invalidité permanente</w:t>
            </w:r>
          </w:p>
          <w:p w14:paraId="62520BEA" w14:textId="77777777" w:rsidR="002F1AFB" w:rsidRPr="00EA3215" w:rsidRDefault="002F1AFB" w:rsidP="002F1AFB">
            <w:pPr>
              <w:spacing w:before="0" w:after="0" w:line="240" w:lineRule="auto"/>
              <w:ind w:left="480"/>
              <w:jc w:val="both"/>
              <w:rPr>
                <w:rFonts w:ascii="Tahoma" w:eastAsia="Times New Roman" w:hAnsi="Tahoma" w:cs="Tahoma"/>
              </w:rPr>
            </w:pPr>
            <w:r w:rsidRPr="00EA3215">
              <w:rPr>
                <w:rFonts w:ascii="Tahoma" w:eastAsia="Times New Roman" w:hAnsi="Tahoma" w:cs="Tahoma"/>
                <w:i/>
                <w:iCs/>
              </w:rPr>
              <w:t>95 % de la perte de retraite jusqu’au décès</w:t>
            </w:r>
          </w:p>
          <w:p w14:paraId="00A00413" w14:textId="77777777" w:rsidR="002F1AFB" w:rsidRPr="00EA3215" w:rsidRDefault="002F1AFB" w:rsidP="002F1AFB">
            <w:pPr>
              <w:spacing w:before="0" w:after="0" w:line="240" w:lineRule="auto"/>
              <w:ind w:left="480"/>
              <w:jc w:val="both"/>
              <w:rPr>
                <w:rFonts w:ascii="Tahoma" w:eastAsia="Times New Roman" w:hAnsi="Tahoma" w:cs="Tahoma"/>
                <w:i/>
                <w:iCs/>
              </w:rPr>
            </w:pPr>
            <w:r w:rsidRPr="00EA3215">
              <w:rPr>
                <w:rFonts w:ascii="Tahoma" w:eastAsia="Times New Roman" w:hAnsi="Tahoma" w:cs="Tahoma"/>
                <w:i/>
                <w:iCs/>
              </w:rPr>
              <w:t>(indissociable avec la garantie maintien de salaire en cas d’invalidité)</w:t>
            </w:r>
          </w:p>
          <w:p w14:paraId="5D3422FC" w14:textId="77777777" w:rsidR="002F1AFB" w:rsidRPr="00EA3215" w:rsidRDefault="002F1AFB" w:rsidP="00EA3215">
            <w:pPr>
              <w:tabs>
                <w:tab w:val="left" w:pos="480"/>
              </w:tabs>
              <w:spacing w:before="60" w:after="0" w:line="240" w:lineRule="auto"/>
              <w:ind w:left="197"/>
              <w:jc w:val="both"/>
              <w:rPr>
                <w:rFonts w:ascii="Tahoma" w:eastAsia="Times New Roman" w:hAnsi="Tahoma" w:cs="Tahoma"/>
              </w:rPr>
            </w:pPr>
            <w:r w:rsidRPr="00EA3215">
              <w:rPr>
                <w:rFonts w:ascii="Tahoma" w:eastAsia="Times New Roman" w:hAnsi="Tahoma" w:cs="Tahoma"/>
                <w:b/>
                <w:bCs/>
              </w:rPr>
              <w:t xml:space="preserve">3) </w:t>
            </w:r>
            <w:r w:rsidRPr="00EA3215">
              <w:rPr>
                <w:rFonts w:ascii="Tahoma" w:eastAsia="Times New Roman" w:hAnsi="Tahoma" w:cs="Tahoma"/>
                <w:b/>
                <w:bCs/>
              </w:rPr>
              <w:tab/>
              <w:t>Garantie décès / perte totale et irréversible d’autonomie</w:t>
            </w:r>
          </w:p>
          <w:p w14:paraId="342F074F" w14:textId="77777777" w:rsidR="002F1AFB" w:rsidRPr="00EA3215" w:rsidRDefault="002F1AFB" w:rsidP="002F1AFB">
            <w:pPr>
              <w:spacing w:before="0" w:after="0" w:line="240" w:lineRule="auto"/>
              <w:ind w:left="480"/>
              <w:jc w:val="both"/>
              <w:rPr>
                <w:rFonts w:ascii="Tahoma" w:eastAsia="Times New Roman" w:hAnsi="Tahoma" w:cs="Tahoma"/>
              </w:rPr>
            </w:pPr>
            <w:r w:rsidRPr="00EA3215">
              <w:rPr>
                <w:rFonts w:ascii="Tahoma" w:eastAsia="Times New Roman" w:hAnsi="Tahoma" w:cs="Tahoma"/>
                <w:i/>
                <w:iCs/>
              </w:rPr>
              <w:t>Deux années du traitement indiciaire brut</w:t>
            </w:r>
          </w:p>
          <w:p w14:paraId="0B38371F" w14:textId="77777777" w:rsidR="002F1AFB" w:rsidRPr="00EA3215" w:rsidRDefault="002F1AFB" w:rsidP="002F1AFB">
            <w:pPr>
              <w:tabs>
                <w:tab w:val="left" w:pos="313"/>
              </w:tabs>
              <w:spacing w:before="0" w:after="0" w:line="240" w:lineRule="auto"/>
              <w:ind w:left="313" w:hanging="283"/>
              <w:jc w:val="both"/>
              <w:rPr>
                <w:rFonts w:ascii="Tahoma" w:eastAsia="Times New Roman" w:hAnsi="Tahoma" w:cs="Tahoma"/>
              </w:rPr>
            </w:pPr>
          </w:p>
          <w:p w14:paraId="06A75670" w14:textId="77777777" w:rsidR="002F1AFB" w:rsidRPr="00EA3215" w:rsidRDefault="002F1AFB" w:rsidP="002F1AFB">
            <w:pPr>
              <w:tabs>
                <w:tab w:val="left" w:pos="313"/>
              </w:tabs>
              <w:spacing w:before="0" w:after="0" w:line="240" w:lineRule="auto"/>
              <w:ind w:left="313" w:hanging="283"/>
              <w:jc w:val="both"/>
              <w:rPr>
                <w:rFonts w:ascii="Tahoma" w:eastAsia="Times New Roman" w:hAnsi="Tahoma" w:cs="Tahoma"/>
              </w:rPr>
            </w:pPr>
            <w:r w:rsidRPr="00EA3215">
              <w:rPr>
                <w:rFonts w:ascii="Tahoma" w:eastAsia="Times New Roman" w:hAnsi="Tahoma" w:cs="Tahoma"/>
              </w:rPr>
              <w:t>Maintien des tarifs jusqu’au 31 décembre 2025</w:t>
            </w:r>
          </w:p>
        </w:tc>
      </w:tr>
      <w:tr w:rsidR="002F1AFB" w:rsidRPr="00EA3215" w14:paraId="115A19FC" w14:textId="77777777" w:rsidTr="009C05FE">
        <w:trPr>
          <w:cantSplit/>
          <w:jc w:val="center"/>
        </w:trPr>
        <w:tc>
          <w:tcPr>
            <w:tcW w:w="3966" w:type="dxa"/>
            <w:shd w:val="clear" w:color="auto" w:fill="auto"/>
          </w:tcPr>
          <w:p w14:paraId="3E8019AF" w14:textId="05A1086A" w:rsidR="002F1AFB" w:rsidRPr="00EA3215" w:rsidRDefault="002F1AFB" w:rsidP="002F1AFB">
            <w:pPr>
              <w:tabs>
                <w:tab w:val="left" w:pos="2268"/>
                <w:tab w:val="left" w:pos="2552"/>
              </w:tabs>
              <w:spacing w:before="0" w:after="0" w:line="240" w:lineRule="auto"/>
              <w:rPr>
                <w:rFonts w:ascii="Tahoma" w:eastAsia="Times New Roman" w:hAnsi="Tahoma" w:cs="Tahoma"/>
                <w:b/>
              </w:rPr>
            </w:pPr>
            <w:r w:rsidRPr="00EA3215">
              <w:rPr>
                <w:rFonts w:ascii="Tahoma" w:eastAsia="Times New Roman" w:hAnsi="Tahoma" w:cs="Tahoma"/>
                <w:b/>
              </w:rPr>
              <w:lastRenderedPageBreak/>
              <w:t>Modalités d’adhésion du contrat</w:t>
            </w:r>
          </w:p>
        </w:tc>
        <w:tc>
          <w:tcPr>
            <w:tcW w:w="6847" w:type="dxa"/>
            <w:shd w:val="clear" w:color="auto" w:fill="auto"/>
          </w:tcPr>
          <w:p w14:paraId="3645F338" w14:textId="77777777" w:rsidR="002F1AFB" w:rsidRPr="00EA3215" w:rsidRDefault="002F1AFB" w:rsidP="002F1AFB">
            <w:pPr>
              <w:numPr>
                <w:ilvl w:val="0"/>
                <w:numId w:val="21"/>
              </w:numPr>
              <w:spacing w:before="0" w:after="0" w:line="240" w:lineRule="auto"/>
              <w:ind w:left="197" w:hanging="197"/>
              <w:rPr>
                <w:rFonts w:ascii="Tahoma" w:eastAsia="Times New Roman" w:hAnsi="Tahoma" w:cs="Tahoma"/>
              </w:rPr>
            </w:pPr>
            <w:r w:rsidRPr="00EA3215">
              <w:rPr>
                <w:rFonts w:ascii="Tahoma" w:eastAsia="Times New Roman" w:hAnsi="Tahoma" w:cs="Tahoma"/>
              </w:rPr>
              <w:t>Adhésion facultative et sans condition (éligibilité de tous les agents, fonctionnaires ou contractuels de droit public ou de droit privé)</w:t>
            </w:r>
          </w:p>
          <w:p w14:paraId="34906D35" w14:textId="77777777" w:rsidR="002F1AFB" w:rsidRPr="00EA3215" w:rsidRDefault="002F1AFB" w:rsidP="002F1AFB">
            <w:pPr>
              <w:numPr>
                <w:ilvl w:val="0"/>
                <w:numId w:val="21"/>
              </w:numPr>
              <w:spacing w:before="60" w:after="0" w:line="240" w:lineRule="auto"/>
              <w:ind w:left="198" w:hanging="198"/>
              <w:rPr>
                <w:rFonts w:ascii="Tahoma" w:eastAsia="Times New Roman" w:hAnsi="Tahoma" w:cs="Tahoma"/>
              </w:rPr>
            </w:pPr>
            <w:r w:rsidRPr="00EA3215">
              <w:rPr>
                <w:rFonts w:ascii="Tahoma" w:eastAsia="Times New Roman" w:hAnsi="Tahoma" w:cs="Tahoma"/>
              </w:rPr>
              <w:t>Pas de délai de stage (carence) si l’agent adhère durant les 12 mois suivant la mise en place de la convention par son employeur, ou durant les 12 mois suivant sa date d’embauche ou sa réintégration lorsque celle-ci est postérieure au 1er janvier 2023</w:t>
            </w:r>
          </w:p>
          <w:p w14:paraId="23BA5722" w14:textId="77777777" w:rsidR="002F1AFB" w:rsidRPr="00EA3215" w:rsidRDefault="002F1AFB" w:rsidP="002F1AFB">
            <w:pPr>
              <w:numPr>
                <w:ilvl w:val="0"/>
                <w:numId w:val="21"/>
              </w:numPr>
              <w:spacing w:before="60" w:after="0" w:line="240" w:lineRule="auto"/>
              <w:ind w:left="198" w:hanging="198"/>
              <w:rPr>
                <w:rFonts w:ascii="Tahoma" w:eastAsia="Times New Roman" w:hAnsi="Tahoma" w:cs="Tahoma"/>
              </w:rPr>
            </w:pPr>
            <w:r w:rsidRPr="00EA3215">
              <w:rPr>
                <w:rFonts w:ascii="Tahoma" w:eastAsia="Times New Roman" w:hAnsi="Tahoma" w:cs="Tahoma"/>
              </w:rPr>
              <w:t>Délai de stage de 6 mois si l’agent adhère au-delà de ces 12 mois</w:t>
            </w:r>
          </w:p>
          <w:p w14:paraId="3EAD74C4" w14:textId="77777777" w:rsidR="002F1AFB" w:rsidRPr="00EA3215" w:rsidRDefault="002F1AFB" w:rsidP="002F1AFB">
            <w:pPr>
              <w:numPr>
                <w:ilvl w:val="0"/>
                <w:numId w:val="21"/>
              </w:numPr>
              <w:spacing w:before="60" w:after="0" w:line="240" w:lineRule="auto"/>
              <w:ind w:left="198" w:hanging="198"/>
              <w:rPr>
                <w:rFonts w:ascii="Tahoma" w:eastAsia="Times New Roman" w:hAnsi="Tahoma" w:cs="Tahoma"/>
              </w:rPr>
            </w:pPr>
            <w:r w:rsidRPr="00EA3215">
              <w:rPr>
                <w:rFonts w:ascii="Tahoma" w:eastAsia="Times New Roman" w:hAnsi="Tahoma" w:cs="Tahoma"/>
              </w:rPr>
              <w:t>Pas de limite d’âge</w:t>
            </w:r>
          </w:p>
          <w:p w14:paraId="536629B0" w14:textId="1F654CA3" w:rsidR="002F1AFB" w:rsidRPr="00EA3215" w:rsidRDefault="002F1AFB" w:rsidP="00EA3215">
            <w:pPr>
              <w:numPr>
                <w:ilvl w:val="0"/>
                <w:numId w:val="21"/>
              </w:numPr>
              <w:spacing w:before="60" w:after="0" w:line="240" w:lineRule="auto"/>
              <w:ind w:left="198" w:hanging="198"/>
              <w:rPr>
                <w:rFonts w:ascii="Tahoma" w:eastAsia="Times New Roman" w:hAnsi="Tahoma" w:cs="Tahoma"/>
                <w:b/>
                <w:bCs/>
              </w:rPr>
            </w:pPr>
            <w:r w:rsidRPr="00EA3215">
              <w:rPr>
                <w:rFonts w:ascii="Tahoma" w:eastAsia="Times New Roman" w:hAnsi="Tahoma" w:cs="Tahoma"/>
              </w:rPr>
              <w:t>Absence de questionnaire médical</w:t>
            </w:r>
          </w:p>
        </w:tc>
      </w:tr>
      <w:tr w:rsidR="002F1AFB" w:rsidRPr="00EA3215" w14:paraId="296D6D3D" w14:textId="77777777" w:rsidTr="009C05FE">
        <w:trPr>
          <w:cantSplit/>
          <w:jc w:val="center"/>
        </w:trPr>
        <w:tc>
          <w:tcPr>
            <w:tcW w:w="3966" w:type="dxa"/>
            <w:shd w:val="clear" w:color="auto" w:fill="auto"/>
          </w:tcPr>
          <w:p w14:paraId="3043601E" w14:textId="77777777" w:rsidR="002F1AFB" w:rsidRPr="00EA3215" w:rsidRDefault="002F1AFB" w:rsidP="002F1AFB">
            <w:pPr>
              <w:tabs>
                <w:tab w:val="left" w:pos="2268"/>
                <w:tab w:val="left" w:pos="2552"/>
              </w:tabs>
              <w:spacing w:before="0" w:after="0" w:line="240" w:lineRule="auto"/>
              <w:rPr>
                <w:rFonts w:ascii="Tahoma" w:eastAsia="Times New Roman" w:hAnsi="Tahoma" w:cs="Tahoma"/>
                <w:b/>
              </w:rPr>
            </w:pPr>
            <w:r w:rsidRPr="00EA3215">
              <w:rPr>
                <w:rFonts w:ascii="Tahoma" w:eastAsia="Times New Roman" w:hAnsi="Tahoma" w:cs="Tahoma"/>
                <w:b/>
              </w:rPr>
              <w:t>Montant final de la participation par agent</w:t>
            </w:r>
          </w:p>
          <w:p w14:paraId="06B462A9" w14:textId="23CB3A50" w:rsidR="002F1AFB" w:rsidRPr="00EA3215" w:rsidRDefault="002F1AFB" w:rsidP="002F1AFB">
            <w:pPr>
              <w:tabs>
                <w:tab w:val="left" w:pos="2268"/>
                <w:tab w:val="left" w:pos="2552"/>
              </w:tabs>
              <w:spacing w:before="0" w:after="0" w:line="240" w:lineRule="auto"/>
              <w:rPr>
                <w:rFonts w:ascii="Tahoma" w:eastAsia="Times New Roman" w:hAnsi="Tahoma" w:cs="Tahoma"/>
                <w:b/>
                <w:sz w:val="18"/>
                <w:szCs w:val="18"/>
              </w:rPr>
            </w:pPr>
            <w:r w:rsidRPr="00EA3215">
              <w:rPr>
                <w:rFonts w:ascii="Tahoma" w:eastAsia="Times New Roman" w:hAnsi="Tahoma" w:cs="Tahoma"/>
                <w:i/>
                <w:iCs/>
                <w:sz w:val="18"/>
                <w:szCs w:val="18"/>
              </w:rPr>
              <w:t>(montant libre jusqu’au 31 décembre 2024, puis fixé à 7 € minimum par agent et par mois à compter du 1</w:t>
            </w:r>
            <w:r w:rsidRPr="00EA3215">
              <w:rPr>
                <w:rFonts w:ascii="Tahoma" w:eastAsia="Times New Roman" w:hAnsi="Tahoma" w:cs="Tahoma"/>
                <w:i/>
                <w:iCs/>
                <w:sz w:val="18"/>
                <w:szCs w:val="18"/>
                <w:vertAlign w:val="superscript"/>
              </w:rPr>
              <w:t>er</w:t>
            </w:r>
            <w:r w:rsidRPr="00EA3215">
              <w:rPr>
                <w:rFonts w:ascii="Tahoma" w:eastAsia="Times New Roman" w:hAnsi="Tahoma" w:cs="Tahoma"/>
                <w:i/>
                <w:iCs/>
                <w:sz w:val="18"/>
                <w:szCs w:val="18"/>
              </w:rPr>
              <w:t xml:space="preserve"> janvier 2025)</w:t>
            </w:r>
          </w:p>
        </w:tc>
        <w:permStart w:id="959516487" w:edGrp="everyone"/>
        <w:tc>
          <w:tcPr>
            <w:tcW w:w="6847" w:type="dxa"/>
            <w:shd w:val="clear" w:color="auto" w:fill="auto"/>
          </w:tcPr>
          <w:p w14:paraId="51399747" w14:textId="57E9FA75" w:rsidR="002F1AFB" w:rsidRPr="00EA3215" w:rsidRDefault="002F1AFB" w:rsidP="002F1AFB">
            <w:pPr>
              <w:tabs>
                <w:tab w:val="left" w:pos="0"/>
              </w:tabs>
              <w:spacing w:before="0" w:after="0" w:line="240" w:lineRule="auto"/>
              <w:jc w:val="both"/>
              <w:rPr>
                <w:rFonts w:ascii="Tahoma" w:eastAsia="Times New Roman" w:hAnsi="Tahoma" w:cs="Tahoma"/>
                <w:b/>
                <w:bCs/>
                <w:u w:val="single"/>
              </w:rPr>
            </w:pPr>
            <w:r w:rsidRPr="00EA3215">
              <w:rPr>
                <w:rFonts w:ascii="Tahoma" w:hAnsi="Tahoma" w:cs="Tahoma"/>
                <w:bCs/>
              </w:rPr>
              <w:fldChar w:fldCharType="begin">
                <w:ffData>
                  <w:name w:val=""/>
                  <w:enabled/>
                  <w:calcOnExit w:val="0"/>
                  <w:textInput>
                    <w:default w:val="............"/>
                  </w:textInput>
                </w:ffData>
              </w:fldChar>
            </w:r>
            <w:r w:rsidRPr="00EA3215">
              <w:rPr>
                <w:rFonts w:ascii="Tahoma" w:hAnsi="Tahoma" w:cs="Tahoma"/>
                <w:bCs/>
              </w:rPr>
              <w:instrText xml:space="preserve"> FORMTEXT </w:instrText>
            </w:r>
            <w:r w:rsidRPr="00EA3215">
              <w:rPr>
                <w:rFonts w:ascii="Tahoma" w:hAnsi="Tahoma" w:cs="Tahoma"/>
                <w:bCs/>
              </w:rPr>
            </w:r>
            <w:r w:rsidRPr="00EA3215">
              <w:rPr>
                <w:rFonts w:ascii="Tahoma" w:hAnsi="Tahoma" w:cs="Tahoma"/>
                <w:bCs/>
              </w:rPr>
              <w:fldChar w:fldCharType="separate"/>
            </w:r>
            <w:r w:rsidRPr="00EA3215">
              <w:rPr>
                <w:rFonts w:ascii="Tahoma" w:hAnsi="Tahoma" w:cs="Tahoma"/>
                <w:bCs/>
                <w:noProof/>
              </w:rPr>
              <w:t>............</w:t>
            </w:r>
            <w:r w:rsidRPr="00EA3215">
              <w:rPr>
                <w:rFonts w:ascii="Tahoma" w:hAnsi="Tahoma" w:cs="Tahoma"/>
                <w:bCs/>
              </w:rPr>
              <w:fldChar w:fldCharType="end"/>
            </w:r>
            <w:permEnd w:id="959516487"/>
            <w:r w:rsidRPr="00EA3215">
              <w:rPr>
                <w:rFonts w:ascii="Tahoma" w:eastAsia="Times New Roman" w:hAnsi="Tahoma" w:cs="Tahoma"/>
                <w:bCs/>
              </w:rPr>
              <w:t xml:space="preserve"> €</w:t>
            </w:r>
          </w:p>
        </w:tc>
      </w:tr>
      <w:tr w:rsidR="002F1AFB" w:rsidRPr="00EA3215" w14:paraId="2AA3DA41" w14:textId="77777777" w:rsidTr="009C05FE">
        <w:trPr>
          <w:cantSplit/>
          <w:jc w:val="center"/>
        </w:trPr>
        <w:tc>
          <w:tcPr>
            <w:tcW w:w="3966" w:type="dxa"/>
            <w:shd w:val="clear" w:color="auto" w:fill="auto"/>
          </w:tcPr>
          <w:p w14:paraId="566356BF" w14:textId="77777777" w:rsidR="002F1AFB" w:rsidRPr="00EA3215" w:rsidRDefault="002F1AFB" w:rsidP="002F1AFB">
            <w:pPr>
              <w:tabs>
                <w:tab w:val="left" w:pos="2268"/>
                <w:tab w:val="left" w:pos="2552"/>
              </w:tabs>
              <w:spacing w:before="0" w:after="0" w:line="240" w:lineRule="auto"/>
              <w:rPr>
                <w:rFonts w:ascii="Tahoma" w:eastAsia="Times New Roman" w:hAnsi="Tahoma" w:cs="Tahoma"/>
                <w:b/>
              </w:rPr>
            </w:pPr>
            <w:r w:rsidRPr="00EA3215">
              <w:rPr>
                <w:rFonts w:ascii="Tahoma" w:eastAsia="Times New Roman" w:hAnsi="Tahoma" w:cs="Tahoma"/>
                <w:b/>
              </w:rPr>
              <w:t xml:space="preserve">Critères de modulation </w:t>
            </w:r>
            <w:r w:rsidRPr="00EA3215">
              <w:rPr>
                <w:rFonts w:ascii="Tahoma" w:eastAsia="Times New Roman" w:hAnsi="Tahoma" w:cs="Tahoma"/>
                <w:bCs/>
              </w:rPr>
              <w:t>le cas échéant</w:t>
            </w:r>
          </w:p>
          <w:p w14:paraId="430EAE86" w14:textId="3C03C503" w:rsidR="002F1AFB" w:rsidRPr="00EA3215" w:rsidRDefault="002F1AFB" w:rsidP="002F1AFB">
            <w:pPr>
              <w:tabs>
                <w:tab w:val="left" w:pos="2268"/>
                <w:tab w:val="left" w:pos="2552"/>
              </w:tabs>
              <w:spacing w:before="0" w:after="0" w:line="240" w:lineRule="auto"/>
              <w:rPr>
                <w:rFonts w:ascii="Tahoma" w:eastAsia="Times New Roman" w:hAnsi="Tahoma" w:cs="Tahoma"/>
                <w:b/>
                <w:sz w:val="18"/>
                <w:szCs w:val="18"/>
              </w:rPr>
            </w:pPr>
            <w:r w:rsidRPr="00EA3215">
              <w:rPr>
                <w:rFonts w:ascii="Tahoma" w:eastAsia="Times New Roman" w:hAnsi="Tahoma" w:cs="Tahoma"/>
                <w:bCs/>
                <w:i/>
                <w:iCs/>
                <w:sz w:val="18"/>
                <w:szCs w:val="18"/>
              </w:rPr>
              <w:t>(possible en fonction des revenus et/ou de la situation familiale)</w:t>
            </w:r>
          </w:p>
        </w:tc>
        <w:permStart w:id="72369116" w:edGrp="everyone"/>
        <w:tc>
          <w:tcPr>
            <w:tcW w:w="6847" w:type="dxa"/>
            <w:shd w:val="clear" w:color="auto" w:fill="auto"/>
          </w:tcPr>
          <w:p w14:paraId="254A336E" w14:textId="201DF397" w:rsidR="002F1AFB" w:rsidRPr="00EA3215" w:rsidRDefault="002F1AFB" w:rsidP="002F1AFB">
            <w:pPr>
              <w:tabs>
                <w:tab w:val="left" w:pos="0"/>
              </w:tabs>
              <w:spacing w:before="0" w:after="0" w:line="240" w:lineRule="auto"/>
              <w:jc w:val="both"/>
              <w:rPr>
                <w:rFonts w:ascii="Tahoma" w:eastAsia="Times New Roman" w:hAnsi="Tahoma" w:cs="Tahoma"/>
                <w:b/>
                <w:bCs/>
                <w:u w:val="single"/>
              </w:rPr>
            </w:pPr>
            <w:r w:rsidRPr="00EA3215">
              <w:rPr>
                <w:rFonts w:ascii="Tahoma" w:hAnsi="Tahoma" w:cs="Tahoma"/>
                <w:bCs/>
              </w:rPr>
              <w:fldChar w:fldCharType="begin">
                <w:ffData>
                  <w:name w:val=""/>
                  <w:enabled/>
                  <w:calcOnExit w:val="0"/>
                  <w:textInput>
                    <w:default w:val="............"/>
                  </w:textInput>
                </w:ffData>
              </w:fldChar>
            </w:r>
            <w:r w:rsidRPr="00EA3215">
              <w:rPr>
                <w:rFonts w:ascii="Tahoma" w:hAnsi="Tahoma" w:cs="Tahoma"/>
                <w:bCs/>
              </w:rPr>
              <w:instrText xml:space="preserve"> FORMTEXT </w:instrText>
            </w:r>
            <w:r w:rsidRPr="00EA3215">
              <w:rPr>
                <w:rFonts w:ascii="Tahoma" w:hAnsi="Tahoma" w:cs="Tahoma"/>
                <w:bCs/>
              </w:rPr>
            </w:r>
            <w:r w:rsidRPr="00EA3215">
              <w:rPr>
                <w:rFonts w:ascii="Tahoma" w:hAnsi="Tahoma" w:cs="Tahoma"/>
                <w:bCs/>
              </w:rPr>
              <w:fldChar w:fldCharType="separate"/>
            </w:r>
            <w:r w:rsidRPr="00EA3215">
              <w:rPr>
                <w:rFonts w:ascii="Tahoma" w:hAnsi="Tahoma" w:cs="Tahoma"/>
                <w:bCs/>
                <w:noProof/>
              </w:rPr>
              <w:t>............</w:t>
            </w:r>
            <w:r w:rsidRPr="00EA3215">
              <w:rPr>
                <w:rFonts w:ascii="Tahoma" w:hAnsi="Tahoma" w:cs="Tahoma"/>
                <w:bCs/>
              </w:rPr>
              <w:fldChar w:fldCharType="end"/>
            </w:r>
            <w:permEnd w:id="72369116"/>
          </w:p>
        </w:tc>
      </w:tr>
    </w:tbl>
    <w:p w14:paraId="023C7FD9" w14:textId="06E06EAC" w:rsidR="00EA3215" w:rsidRDefault="00EA3215" w:rsidP="00EA3215">
      <w:pPr>
        <w:tabs>
          <w:tab w:val="left" w:pos="5670"/>
        </w:tabs>
        <w:spacing w:before="120"/>
        <w:jc w:val="both"/>
        <w:rPr>
          <w:rFonts w:ascii="Tahoma" w:hAnsi="Tahoma" w:cs="Tahoma"/>
          <w:sz w:val="22"/>
          <w:szCs w:val="24"/>
        </w:rPr>
      </w:pPr>
      <w:bookmarkStart w:id="0" w:name="_Hlk126154348"/>
    </w:p>
    <w:p w14:paraId="6601584F" w14:textId="77777777" w:rsidR="00EA3215" w:rsidRPr="00604DA5" w:rsidRDefault="00EA3215" w:rsidP="00EA3215">
      <w:pPr>
        <w:spacing w:before="60"/>
        <w:ind w:left="5387"/>
        <w:rPr>
          <w:rFonts w:ascii="Tahoma" w:hAnsi="Tahoma" w:cs="Tahoma"/>
        </w:rPr>
      </w:pPr>
      <w:r w:rsidRPr="00604DA5">
        <w:rPr>
          <w:rFonts w:ascii="Tahoma" w:hAnsi="Tahoma" w:cs="Tahoma"/>
          <w:b/>
          <w:noProof/>
          <w:color w:val="004C4C" w:themeColor="accent4" w:themeShade="80"/>
        </w:rPr>
        <mc:AlternateContent>
          <mc:Choice Requires="wps">
            <w:drawing>
              <wp:anchor distT="0" distB="0" distL="114300" distR="114300" simplePos="0" relativeHeight="251682816" behindDoc="0" locked="0" layoutInCell="1" allowOverlap="1" wp14:anchorId="57D46310" wp14:editId="09E9433E">
                <wp:simplePos x="0" y="0"/>
                <wp:positionH relativeFrom="column">
                  <wp:posOffset>3247390</wp:posOffset>
                </wp:positionH>
                <wp:positionV relativeFrom="paragraph">
                  <wp:posOffset>9525</wp:posOffset>
                </wp:positionV>
                <wp:extent cx="0" cy="1404000"/>
                <wp:effectExtent l="38100" t="0" r="57150" b="62865"/>
                <wp:wrapNone/>
                <wp:docPr id="1" name="Connecteur droit 1"/>
                <wp:cNvGraphicFramePr/>
                <a:graphic xmlns:a="http://schemas.openxmlformats.org/drawingml/2006/main">
                  <a:graphicData uri="http://schemas.microsoft.com/office/word/2010/wordprocessingShape">
                    <wps:wsp>
                      <wps:cNvCnPr/>
                      <wps:spPr>
                        <a:xfrm>
                          <a:off x="0" y="0"/>
                          <a:ext cx="0" cy="1404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1436AF" id="Connecteur droit 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7pt,.75pt" to="255.7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" strokeweight="8pt"/>
            </w:pict>
          </mc:Fallback>
        </mc:AlternateContent>
      </w:r>
      <w:r w:rsidRPr="00604DA5">
        <w:rPr>
          <w:rFonts w:ascii="Tahoma" w:hAnsi="Tahoma" w:cs="Tahoma"/>
        </w:rPr>
        <w:t xml:space="preserve">Fait à </w:t>
      </w:r>
      <w:permStart w:id="166473494"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166473494"/>
      <w:r w:rsidRPr="00604DA5">
        <w:rPr>
          <w:rFonts w:ascii="Tahoma" w:hAnsi="Tahoma" w:cs="Tahoma"/>
        </w:rPr>
        <w:t xml:space="preserve">, le </w:t>
      </w:r>
      <w:permStart w:id="1642160693"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1642160693"/>
    </w:p>
    <w:p w14:paraId="5CA5BC8C" w14:textId="77777777" w:rsidR="00EA3215" w:rsidRPr="00604DA5" w:rsidRDefault="00EA3215" w:rsidP="00EA3215">
      <w:pPr>
        <w:spacing w:before="60"/>
        <w:ind w:left="5387"/>
        <w:rPr>
          <w:rFonts w:ascii="Tahoma" w:hAnsi="Tahoma" w:cs="Tahoma"/>
        </w:rPr>
      </w:pPr>
      <w:r w:rsidRPr="00604DA5">
        <w:rPr>
          <w:rFonts w:ascii="Tahoma" w:hAnsi="Tahoma" w:cs="Tahoma"/>
        </w:rPr>
        <w:t xml:space="preserve">(Cachet et signature) </w:t>
      </w:r>
      <w:permStart w:id="387398406" w:edGrp="everyone"/>
      <w:r w:rsidRPr="00604DA5">
        <w:rPr>
          <w:rFonts w:ascii="Tahoma" w:hAnsi="Tahoma" w:cs="Tahoma"/>
        </w:rPr>
        <w:fldChar w:fldCharType="begin">
          <w:ffData>
            <w:name w:val=""/>
            <w:enabled/>
            <w:calcOnExit w:val="0"/>
            <w:textInput>
              <w:default w:val="Le Maire / Le Président"/>
            </w:textInput>
          </w:ffData>
        </w:fldChar>
      </w:r>
      <w:r w:rsidRPr="00604DA5">
        <w:rPr>
          <w:rFonts w:ascii="Tahoma" w:hAnsi="Tahoma" w:cs="Tahoma"/>
        </w:rPr>
        <w:instrText xml:space="preserve"> FORMTEXT </w:instrText>
      </w:r>
      <w:r w:rsidRPr="00604DA5">
        <w:rPr>
          <w:rFonts w:ascii="Tahoma" w:hAnsi="Tahoma" w:cs="Tahoma"/>
        </w:rPr>
      </w:r>
      <w:r w:rsidRPr="00604DA5">
        <w:rPr>
          <w:rFonts w:ascii="Tahoma" w:hAnsi="Tahoma" w:cs="Tahoma"/>
        </w:rPr>
        <w:fldChar w:fldCharType="separate"/>
      </w:r>
      <w:r w:rsidRPr="00604DA5">
        <w:rPr>
          <w:rFonts w:ascii="Tahoma" w:hAnsi="Tahoma" w:cs="Tahoma"/>
          <w:noProof/>
        </w:rPr>
        <w:t>Le Maire / Le Président</w:t>
      </w:r>
      <w:r w:rsidRPr="00604DA5">
        <w:rPr>
          <w:rFonts w:ascii="Tahoma" w:hAnsi="Tahoma" w:cs="Tahoma"/>
        </w:rPr>
        <w:fldChar w:fldCharType="end"/>
      </w:r>
      <w:permEnd w:id="387398406"/>
    </w:p>
    <w:p w14:paraId="5D3F1C47" w14:textId="77777777" w:rsidR="00EA3215" w:rsidRPr="003A383A" w:rsidRDefault="00EA3215" w:rsidP="00EA3215">
      <w:pPr>
        <w:rPr>
          <w:rFonts w:ascii="Tahoma" w:hAnsi="Tahoma" w:cs="Tahoma"/>
          <w:sz w:val="22"/>
          <w:szCs w:val="24"/>
        </w:rPr>
      </w:pPr>
    </w:p>
    <w:p w14:paraId="592CAC54" w14:textId="392817C3" w:rsidR="00EA3215" w:rsidRDefault="00EA3215" w:rsidP="00577E34">
      <w:pPr>
        <w:tabs>
          <w:tab w:val="left" w:pos="284"/>
        </w:tabs>
        <w:spacing w:before="60"/>
        <w:rPr>
          <w:rFonts w:ascii="Tahoma" w:hAnsi="Tahoma" w:cs="Tahoma"/>
          <w:sz w:val="22"/>
          <w:szCs w:val="24"/>
        </w:rPr>
      </w:pPr>
    </w:p>
    <w:p w14:paraId="21DBF8DF" w14:textId="77777777" w:rsidR="00EA3215" w:rsidRDefault="00EA3215" w:rsidP="00EA3215">
      <w:pPr>
        <w:rPr>
          <w:rFonts w:ascii="Tahoma" w:hAnsi="Tahoma" w:cs="Tahoma"/>
          <w:sz w:val="22"/>
          <w:szCs w:val="24"/>
        </w:rPr>
      </w:pPr>
    </w:p>
    <w:p w14:paraId="457AAC97" w14:textId="0EE73B23" w:rsidR="00B20E22" w:rsidRPr="00B20E22" w:rsidRDefault="00B20E22" w:rsidP="00EA3215">
      <w:pPr>
        <w:tabs>
          <w:tab w:val="left" w:pos="5670"/>
        </w:tabs>
        <w:spacing w:before="120"/>
        <w:jc w:val="both"/>
        <w:rPr>
          <w:rFonts w:ascii="Tahoma" w:hAnsi="Tahoma" w:cs="Tahoma"/>
          <w:sz w:val="22"/>
          <w:szCs w:val="24"/>
        </w:rPr>
      </w:pPr>
    </w:p>
    <w:p w14:paraId="0C8BCA9E" w14:textId="1DECA1E8" w:rsidR="00577E34" w:rsidRPr="00577E34" w:rsidRDefault="00EA3215" w:rsidP="00577E34">
      <w:pPr>
        <w:spacing w:before="120"/>
        <w:rPr>
          <w:rFonts w:ascii="Tahoma" w:hAnsi="Tahoma" w:cs="Tahoma"/>
          <w:bCs/>
          <w:i/>
          <w:iCs/>
          <w:noProof/>
          <w:color w:val="004C4C" w:themeColor="accent4" w:themeShade="80"/>
          <w:sz w:val="22"/>
          <w:szCs w:val="22"/>
        </w:rPr>
      </w:pPr>
      <w:r w:rsidRPr="004476E3">
        <w:rPr>
          <w:rFonts w:ascii="Tahoma" w:hAnsi="Tahoma" w:cs="Tahoma"/>
          <w:bCs/>
          <w:i/>
          <w:iCs/>
          <w:noProof/>
          <w:color w:val="004C4C" w:themeColor="accent4" w:themeShade="80"/>
          <w:sz w:val="22"/>
          <w:szCs w:val="22"/>
        </w:rPr>
        <w:t>Merci de retourner votre imprimé par mail à l’adresse</w:t>
      </w:r>
      <w:r w:rsidRPr="004476E3">
        <w:rPr>
          <w:rFonts w:ascii="Tahoma" w:hAnsi="Tahoma" w:cs="Tahoma"/>
          <w:b/>
          <w:i/>
          <w:iCs/>
          <w:noProof/>
          <w:color w:val="004C4C" w:themeColor="accent4" w:themeShade="80"/>
          <w:sz w:val="22"/>
          <w:szCs w:val="22"/>
        </w:rPr>
        <w:t xml:space="preserve"> </w:t>
      </w:r>
      <w:r w:rsidRPr="004476E3">
        <w:rPr>
          <w:rFonts w:ascii="Tahoma" w:hAnsi="Tahoma" w:cs="Tahoma"/>
          <w:bCs/>
          <w:i/>
          <w:iCs/>
          <w:noProof/>
          <w:color w:val="D2435B" w:themeColor="accent1"/>
          <w:sz w:val="22"/>
          <w:szCs w:val="22"/>
        </w:rPr>
        <w:t>cdg50@cdg50.fr</w:t>
      </w:r>
      <w:bookmarkEnd w:id="0"/>
    </w:p>
    <w:p w14:paraId="2EF17498" w14:textId="2229E3E7" w:rsidR="00EA3215" w:rsidRPr="00EA3215" w:rsidRDefault="00EA3215" w:rsidP="00EA3215">
      <w:pPr>
        <w:tabs>
          <w:tab w:val="left" w:pos="3315"/>
        </w:tabs>
        <w:rPr>
          <w:rFonts w:ascii="Garamond" w:hAnsi="Garamond" w:cs="Tahoma"/>
          <w:sz w:val="24"/>
          <w:szCs w:val="22"/>
        </w:rPr>
      </w:pPr>
    </w:p>
    <w:sectPr w:rsidR="00EA3215" w:rsidRPr="00EA3215" w:rsidSect="00052D9E">
      <w:footerReference w:type="default" r:id="rId8"/>
      <w:headerReference w:type="first" r:id="rId9"/>
      <w:footerReference w:type="first" r:id="rId10"/>
      <w:pgSz w:w="11907" w:h="16840" w:code="9"/>
      <w:pgMar w:top="454" w:right="454" w:bottom="284" w:left="454" w:header="284"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E37B" w14:textId="179D74F2" w:rsidR="000D100C" w:rsidRPr="00EA3215" w:rsidRDefault="00EA3215" w:rsidP="00EA3215">
    <w:pPr>
      <w:pStyle w:val="Pieddepage"/>
      <w:tabs>
        <w:tab w:val="clear" w:pos="4536"/>
        <w:tab w:val="clear" w:pos="9072"/>
        <w:tab w:val="right" w:pos="10915"/>
      </w:tabs>
      <w:rPr>
        <w:rFonts w:ascii="Tahoma" w:hAnsi="Tahoma" w:cs="Tahoma"/>
        <w:sz w:val="16"/>
        <w:szCs w:val="16"/>
      </w:rPr>
    </w:pPr>
    <w:r w:rsidRPr="004476E3">
      <w:rPr>
        <w:rFonts w:ascii="Tahoma" w:hAnsi="Tahoma" w:cs="Tahoma"/>
        <w:sz w:val="16"/>
        <w:szCs w:val="16"/>
      </w:rPr>
      <w:t>Centre de Gestion de la Manche (02.2023)</w:t>
    </w:r>
    <w:r w:rsidRPr="004476E3">
      <w:rPr>
        <w:rFonts w:ascii="Tahoma" w:hAnsi="Tahoma" w:cs="Tahoma"/>
        <w:sz w:val="16"/>
        <w:szCs w:val="16"/>
      </w:rPr>
      <w:tab/>
    </w:r>
    <w:r w:rsidRPr="004476E3">
      <w:rPr>
        <w:rFonts w:ascii="Tahoma" w:hAnsi="Tahoma" w:cs="Tahoma"/>
        <w:sz w:val="16"/>
        <w:szCs w:val="16"/>
      </w:rPr>
      <w:fldChar w:fldCharType="begin"/>
    </w:r>
    <w:r w:rsidRPr="004476E3">
      <w:rPr>
        <w:rFonts w:ascii="Tahoma" w:hAnsi="Tahoma" w:cs="Tahoma"/>
        <w:sz w:val="16"/>
        <w:szCs w:val="16"/>
      </w:rPr>
      <w:instrText>PAGE  \* Arabic  \* MERGEFORMAT</w:instrText>
    </w:r>
    <w:r w:rsidRPr="004476E3">
      <w:rPr>
        <w:rFonts w:ascii="Tahoma" w:hAnsi="Tahoma" w:cs="Tahoma"/>
        <w:sz w:val="16"/>
        <w:szCs w:val="16"/>
      </w:rPr>
      <w:fldChar w:fldCharType="separate"/>
    </w:r>
    <w:r>
      <w:rPr>
        <w:rFonts w:ascii="Tahoma" w:hAnsi="Tahoma" w:cs="Tahoma"/>
        <w:sz w:val="16"/>
        <w:szCs w:val="16"/>
      </w:rPr>
      <w:t>2</w:t>
    </w:r>
    <w:r w:rsidRPr="004476E3">
      <w:rPr>
        <w:rFonts w:ascii="Tahoma" w:hAnsi="Tahoma" w:cs="Tahoma"/>
        <w:sz w:val="16"/>
        <w:szCs w:val="16"/>
      </w:rPr>
      <w:fldChar w:fldCharType="end"/>
    </w:r>
    <w:r w:rsidRPr="004476E3">
      <w:rPr>
        <w:rFonts w:ascii="Tahoma" w:hAnsi="Tahoma" w:cs="Tahoma"/>
        <w:sz w:val="16"/>
        <w:szCs w:val="16"/>
      </w:rPr>
      <w:t xml:space="preserve"> / </w:t>
    </w:r>
    <w:r w:rsidRPr="004476E3">
      <w:rPr>
        <w:rFonts w:ascii="Tahoma" w:hAnsi="Tahoma" w:cs="Tahoma"/>
        <w:sz w:val="16"/>
        <w:szCs w:val="16"/>
      </w:rPr>
      <w:fldChar w:fldCharType="begin"/>
    </w:r>
    <w:r w:rsidRPr="004476E3">
      <w:rPr>
        <w:rFonts w:ascii="Tahoma" w:hAnsi="Tahoma" w:cs="Tahoma"/>
        <w:sz w:val="16"/>
        <w:szCs w:val="16"/>
      </w:rPr>
      <w:instrText>NUMPAGES  \* Arabic  \* MERGEFORMAT</w:instrText>
    </w:r>
    <w:r w:rsidRPr="004476E3">
      <w:rPr>
        <w:rFonts w:ascii="Tahoma" w:hAnsi="Tahoma" w:cs="Tahoma"/>
        <w:sz w:val="16"/>
        <w:szCs w:val="16"/>
      </w:rPr>
      <w:fldChar w:fldCharType="separate"/>
    </w:r>
    <w:r>
      <w:rPr>
        <w:rFonts w:ascii="Tahoma" w:hAnsi="Tahoma" w:cs="Tahoma"/>
        <w:sz w:val="16"/>
        <w:szCs w:val="16"/>
      </w:rPr>
      <w:t>3</w:t>
    </w:r>
    <w:r w:rsidRPr="004476E3">
      <w:rPr>
        <w:rFonts w:ascii="Tahoma" w:hAnsi="Tahoma" w:cs="Tahom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A84E" w14:textId="5DA5F08A" w:rsidR="000D100C" w:rsidRPr="00EA3215" w:rsidRDefault="00EA3215" w:rsidP="00EA3215">
    <w:pPr>
      <w:pStyle w:val="Pieddepage"/>
      <w:tabs>
        <w:tab w:val="clear" w:pos="4536"/>
        <w:tab w:val="clear" w:pos="9072"/>
        <w:tab w:val="right" w:pos="10915"/>
      </w:tabs>
      <w:rPr>
        <w:rFonts w:ascii="Tahoma" w:hAnsi="Tahoma" w:cs="Tahoma"/>
        <w:sz w:val="16"/>
        <w:szCs w:val="16"/>
      </w:rPr>
    </w:pPr>
    <w:r w:rsidRPr="004476E3">
      <w:rPr>
        <w:rFonts w:ascii="Tahoma" w:hAnsi="Tahoma" w:cs="Tahoma"/>
        <w:sz w:val="16"/>
        <w:szCs w:val="16"/>
      </w:rPr>
      <w:t>Centre de Gestion de la Manche (02.2023)</w:t>
    </w:r>
    <w:r w:rsidRPr="004476E3">
      <w:rPr>
        <w:rFonts w:ascii="Tahoma" w:hAnsi="Tahoma" w:cs="Tahoma"/>
        <w:sz w:val="16"/>
        <w:szCs w:val="16"/>
      </w:rPr>
      <w:tab/>
    </w:r>
    <w:r w:rsidRPr="004476E3">
      <w:rPr>
        <w:rFonts w:ascii="Tahoma" w:hAnsi="Tahoma" w:cs="Tahoma"/>
        <w:sz w:val="16"/>
        <w:szCs w:val="16"/>
      </w:rPr>
      <w:fldChar w:fldCharType="begin"/>
    </w:r>
    <w:r w:rsidRPr="004476E3">
      <w:rPr>
        <w:rFonts w:ascii="Tahoma" w:hAnsi="Tahoma" w:cs="Tahoma"/>
        <w:sz w:val="16"/>
        <w:szCs w:val="16"/>
      </w:rPr>
      <w:instrText>PAGE  \* Arabic  \* MERGEFORMAT</w:instrText>
    </w:r>
    <w:r w:rsidRPr="004476E3">
      <w:rPr>
        <w:rFonts w:ascii="Tahoma" w:hAnsi="Tahoma" w:cs="Tahoma"/>
        <w:sz w:val="16"/>
        <w:szCs w:val="16"/>
      </w:rPr>
      <w:fldChar w:fldCharType="separate"/>
    </w:r>
    <w:r>
      <w:rPr>
        <w:rFonts w:ascii="Tahoma" w:hAnsi="Tahoma" w:cs="Tahoma"/>
        <w:sz w:val="16"/>
        <w:szCs w:val="16"/>
      </w:rPr>
      <w:t>2</w:t>
    </w:r>
    <w:r w:rsidRPr="004476E3">
      <w:rPr>
        <w:rFonts w:ascii="Tahoma" w:hAnsi="Tahoma" w:cs="Tahoma"/>
        <w:sz w:val="16"/>
        <w:szCs w:val="16"/>
      </w:rPr>
      <w:fldChar w:fldCharType="end"/>
    </w:r>
    <w:r w:rsidRPr="004476E3">
      <w:rPr>
        <w:rFonts w:ascii="Tahoma" w:hAnsi="Tahoma" w:cs="Tahoma"/>
        <w:sz w:val="16"/>
        <w:szCs w:val="16"/>
      </w:rPr>
      <w:t xml:space="preserve"> / </w:t>
    </w:r>
    <w:r w:rsidRPr="004476E3">
      <w:rPr>
        <w:rFonts w:ascii="Tahoma" w:hAnsi="Tahoma" w:cs="Tahoma"/>
        <w:sz w:val="16"/>
        <w:szCs w:val="16"/>
      </w:rPr>
      <w:fldChar w:fldCharType="begin"/>
    </w:r>
    <w:r w:rsidRPr="004476E3">
      <w:rPr>
        <w:rFonts w:ascii="Tahoma" w:hAnsi="Tahoma" w:cs="Tahoma"/>
        <w:sz w:val="16"/>
        <w:szCs w:val="16"/>
      </w:rPr>
      <w:instrText>NUMPAGES  \* Arabic  \* MERGEFORMAT</w:instrText>
    </w:r>
    <w:r w:rsidRPr="004476E3">
      <w:rPr>
        <w:rFonts w:ascii="Tahoma" w:hAnsi="Tahoma" w:cs="Tahoma"/>
        <w:sz w:val="16"/>
        <w:szCs w:val="16"/>
      </w:rPr>
      <w:fldChar w:fldCharType="separate"/>
    </w:r>
    <w:r>
      <w:rPr>
        <w:rFonts w:ascii="Tahoma" w:hAnsi="Tahoma" w:cs="Tahoma"/>
        <w:sz w:val="16"/>
        <w:szCs w:val="16"/>
      </w:rPr>
      <w:t>3</w:t>
    </w:r>
    <w:r w:rsidRPr="004476E3">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7B96" w14:textId="07F91528" w:rsidR="00052D9E" w:rsidRPr="00EA3215" w:rsidRDefault="004912D9">
    <w:pPr>
      <w:pStyle w:val="En-tte"/>
      <w:rPr>
        <w:sz w:val="10"/>
        <w:szCs w:val="10"/>
      </w:rPr>
    </w:pPr>
    <w:r w:rsidRPr="00EA3215">
      <w:rPr>
        <w:noProof/>
        <w:sz w:val="10"/>
        <w:szCs w:val="10"/>
      </w:rPr>
      <mc:AlternateContent>
        <mc:Choice Requires="wps">
          <w:drawing>
            <wp:anchor distT="0" distB="0" distL="114300" distR="114300" simplePos="0" relativeHeight="251659264" behindDoc="1" locked="0" layoutInCell="1" allowOverlap="1" wp14:anchorId="359953EB" wp14:editId="025C988B">
              <wp:simplePos x="0" y="0"/>
              <wp:positionH relativeFrom="column">
                <wp:posOffset>-334010</wp:posOffset>
              </wp:positionH>
              <wp:positionV relativeFrom="paragraph">
                <wp:posOffset>-187960</wp:posOffset>
              </wp:positionV>
              <wp:extent cx="7624445" cy="1457325"/>
              <wp:effectExtent l="57150" t="19050" r="52705" b="85725"/>
              <wp:wrapNone/>
              <wp:docPr id="16" name="Rectangle 16"/>
              <wp:cNvGraphicFramePr/>
              <a:graphic xmlns:a="http://schemas.openxmlformats.org/drawingml/2006/main">
                <a:graphicData uri="http://schemas.microsoft.com/office/word/2010/wordprocessingShape">
                  <wps:wsp>
                    <wps:cNvSpPr/>
                    <wps:spPr>
                      <a:xfrm>
                        <a:off x="0" y="0"/>
                        <a:ext cx="7624445" cy="1457325"/>
                      </a:xfrm>
                      <a:prstGeom prst="rect">
                        <a:avLst/>
                      </a:prstGeom>
                      <a:gradFill flip="none" rotWithShape="1">
                        <a:gsLst>
                          <a:gs pos="0">
                            <a:schemeClr val="accent4">
                              <a:shade val="30000"/>
                              <a:satMod val="115000"/>
                            </a:schemeClr>
                          </a:gs>
                          <a:gs pos="50000">
                            <a:schemeClr val="accent4">
                              <a:shade val="67500"/>
                              <a:satMod val="115000"/>
                            </a:schemeClr>
                          </a:gs>
                          <a:gs pos="100000">
                            <a:schemeClr val="accent4">
                              <a:shade val="100000"/>
                              <a:satMod val="115000"/>
                            </a:schemeClr>
                          </a:gs>
                        </a:gsLst>
                        <a:lin ang="5400000" scaled="1"/>
                        <a:tileRect/>
                      </a:gra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BC179" id="Rectangle 16" o:spid="_x0000_s1026" style="position:absolute;margin-left:-26.3pt;margin-top:-14.8pt;width:600.35pt;height:11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" fillcolor="#002d2d [967]" stroked="f">
              <v:fill color2="#099 [3207]" rotate="t" colors="0 #005e5e;.5 #008989;1 #00a4a4" focus="100%" type="gradient"/>
              <v:shadow on="t" color="black" opacity="22937f" origin=",.5" offset="0,.63889mm"/>
            </v:rect>
          </w:pict>
        </mc:Fallback>
      </mc:AlternateContent>
    </w:r>
    <w:r w:rsidR="00052D9E" w:rsidRPr="00EA3215">
      <w:rPr>
        <w:noProof/>
        <w:sz w:val="10"/>
        <w:szCs w:val="10"/>
      </w:rPr>
      <mc:AlternateContent>
        <mc:Choice Requires="wps">
          <w:drawing>
            <wp:anchor distT="45720" distB="45720" distL="114300" distR="114300" simplePos="0" relativeHeight="251661312" behindDoc="0" locked="0" layoutInCell="1" allowOverlap="1" wp14:anchorId="6B4994CD" wp14:editId="11179154">
              <wp:simplePos x="0" y="0"/>
              <wp:positionH relativeFrom="column">
                <wp:posOffset>1231582</wp:posOffset>
              </wp:positionH>
              <wp:positionV relativeFrom="paragraph">
                <wp:posOffset>160655</wp:posOffset>
              </wp:positionV>
              <wp:extent cx="5819775" cy="13239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323975"/>
                      </a:xfrm>
                      <a:prstGeom prst="rect">
                        <a:avLst/>
                      </a:prstGeom>
                      <a:noFill/>
                      <a:ln w="9525">
                        <a:noFill/>
                        <a:miter lim="800000"/>
                        <a:headEnd/>
                        <a:tailEnd/>
                      </a:ln>
                    </wps:spPr>
                    <wps:txbx>
                      <w:txbxContent>
                        <w:p w14:paraId="12EAE322" w14:textId="77777777" w:rsidR="00052D9E" w:rsidRDefault="00052D9E" w:rsidP="00052D9E">
                          <w:pPr>
                            <w:jc w:val="center"/>
                            <w:rPr>
                              <w:rFonts w:ascii="Century Gothic" w:hAnsi="Century Gothic"/>
                              <w:b/>
                              <w:color w:val="FFFFFF" w:themeColor="background1"/>
                              <w:sz w:val="36"/>
                            </w:rPr>
                          </w:pPr>
                          <w:r w:rsidRPr="00FE1EC4">
                            <w:rPr>
                              <w:rFonts w:ascii="Century Gothic" w:hAnsi="Century Gothic"/>
                              <w:b/>
                              <w:color w:val="FFFFFF" w:themeColor="background1"/>
                              <w:sz w:val="36"/>
                            </w:rPr>
                            <w:t>PROTECTION SOCIALE COMPLEMENTAIRE</w:t>
                          </w:r>
                        </w:p>
                        <w:p w14:paraId="58185269" w14:textId="77777777" w:rsidR="00052D9E" w:rsidRPr="00002BA4" w:rsidRDefault="00052D9E" w:rsidP="00052D9E">
                          <w:pPr>
                            <w:jc w:val="center"/>
                            <w:rPr>
                              <w:rFonts w:ascii="Tahoma" w:hAnsi="Tahoma" w:cs="Tahoma"/>
                              <w:i/>
                              <w:color w:val="FFFFFF" w:themeColor="background1"/>
                              <w:sz w:val="24"/>
                              <w:szCs w:val="21"/>
                            </w:rPr>
                          </w:pPr>
                          <w:r w:rsidRPr="00F65E66">
                            <w:rPr>
                              <w:rFonts w:ascii="Tahoma" w:hAnsi="Tahoma" w:cs="Tahoma"/>
                              <w:color w:val="FFFFFF" w:themeColor="background1"/>
                              <w:sz w:val="24"/>
                              <w:szCs w:val="21"/>
                            </w:rPr>
                            <w:t>Demande d’avis du Comité Social Territorial (CST)</w:t>
                          </w:r>
                          <w:r w:rsidRPr="00002BA4">
                            <w:rPr>
                              <w:rFonts w:ascii="Tahoma" w:hAnsi="Tahoma" w:cs="Tahoma"/>
                              <w:color w:val="FFFFFF" w:themeColor="background1"/>
                              <w:sz w:val="24"/>
                              <w:szCs w:val="21"/>
                            </w:rPr>
                            <w:br/>
                          </w:r>
                        </w:p>
                        <w:p w14:paraId="381E75CA" w14:textId="77777777" w:rsidR="00052D9E" w:rsidRDefault="00052D9E" w:rsidP="00052D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994CD" id="_x0000_t202" coordsize="21600,21600" o:spt="202" path="m,l,21600r21600,l21600,xe">
              <v:stroke joinstyle="miter"/>
              <v:path gradientshapeok="t" o:connecttype="rect"/>
            </v:shapetype>
            <v:shape id="Zone de texte 2" o:spid="_x0000_s1026" type="#_x0000_t202" style="position:absolute;margin-left:96.95pt;margin-top:12.65pt;width:458.25pt;height:10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" filled="f" stroked="f">
              <v:textbox>
                <w:txbxContent>
                  <w:p w14:paraId="12EAE322" w14:textId="77777777" w:rsidR="00052D9E" w:rsidRDefault="00052D9E" w:rsidP="00052D9E">
                    <w:pPr>
                      <w:jc w:val="center"/>
                      <w:rPr>
                        <w:rFonts w:ascii="Century Gothic" w:hAnsi="Century Gothic"/>
                        <w:b/>
                        <w:color w:val="FFFFFF" w:themeColor="background1"/>
                        <w:sz w:val="36"/>
                      </w:rPr>
                    </w:pPr>
                    <w:r w:rsidRPr="00FE1EC4">
                      <w:rPr>
                        <w:rFonts w:ascii="Century Gothic" w:hAnsi="Century Gothic"/>
                        <w:b/>
                        <w:color w:val="FFFFFF" w:themeColor="background1"/>
                        <w:sz w:val="36"/>
                      </w:rPr>
                      <w:t>PROTECTION SOCIALE COMPLEMENTAIRE</w:t>
                    </w:r>
                  </w:p>
                  <w:p w14:paraId="58185269" w14:textId="77777777" w:rsidR="00052D9E" w:rsidRPr="00002BA4" w:rsidRDefault="00052D9E" w:rsidP="00052D9E">
                    <w:pPr>
                      <w:jc w:val="center"/>
                      <w:rPr>
                        <w:rFonts w:ascii="Tahoma" w:hAnsi="Tahoma" w:cs="Tahoma"/>
                        <w:i/>
                        <w:color w:val="FFFFFF" w:themeColor="background1"/>
                        <w:sz w:val="24"/>
                        <w:szCs w:val="21"/>
                      </w:rPr>
                    </w:pPr>
                    <w:r w:rsidRPr="00F65E66">
                      <w:rPr>
                        <w:rFonts w:ascii="Tahoma" w:hAnsi="Tahoma" w:cs="Tahoma"/>
                        <w:color w:val="FFFFFF" w:themeColor="background1"/>
                        <w:sz w:val="24"/>
                        <w:szCs w:val="21"/>
                      </w:rPr>
                      <w:t>Demande d’avis du Comité Social Territorial (CST)</w:t>
                    </w:r>
                    <w:r w:rsidRPr="00002BA4">
                      <w:rPr>
                        <w:rFonts w:ascii="Tahoma" w:hAnsi="Tahoma" w:cs="Tahoma"/>
                        <w:color w:val="FFFFFF" w:themeColor="background1"/>
                        <w:sz w:val="24"/>
                        <w:szCs w:val="21"/>
                      </w:rPr>
                      <w:br/>
                    </w:r>
                  </w:p>
                  <w:p w14:paraId="381E75CA" w14:textId="77777777" w:rsidR="00052D9E" w:rsidRDefault="00052D9E" w:rsidP="00052D9E"/>
                </w:txbxContent>
              </v:textbox>
              <w10:wrap type="square"/>
            </v:shape>
          </w:pict>
        </mc:Fallback>
      </mc:AlternateContent>
    </w:r>
    <w:r w:rsidR="00052D9E" w:rsidRPr="00EA3215">
      <w:rPr>
        <w:noProof/>
        <w:sz w:val="10"/>
        <w:szCs w:val="10"/>
      </w:rPr>
      <w:drawing>
        <wp:anchor distT="0" distB="0" distL="114300" distR="114300" simplePos="0" relativeHeight="251660288" behindDoc="0" locked="0" layoutInCell="1" allowOverlap="1" wp14:anchorId="5013DFCF" wp14:editId="47F7A28B">
          <wp:simplePos x="0" y="0"/>
          <wp:positionH relativeFrom="column">
            <wp:posOffset>217805</wp:posOffset>
          </wp:positionH>
          <wp:positionV relativeFrom="paragraph">
            <wp:posOffset>-94932</wp:posOffset>
          </wp:positionV>
          <wp:extent cx="729615" cy="1331595"/>
          <wp:effectExtent l="0" t="0" r="0" b="1905"/>
          <wp:wrapSquare wrapText="bothSides"/>
          <wp:docPr id="17" name="Image 17"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615" cy="1331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3"/>
    <w:multiLevelType w:val="hybridMultilevel"/>
    <w:tmpl w:val="97668FC4"/>
    <w:lvl w:ilvl="0" w:tplc="040C0015">
      <w:start w:val="1"/>
      <w:numFmt w:val="upp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6C1651"/>
    <w:multiLevelType w:val="hybridMultilevel"/>
    <w:tmpl w:val="71926212"/>
    <w:lvl w:ilvl="0" w:tplc="D3DAE4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17708"/>
    <w:multiLevelType w:val="hybridMultilevel"/>
    <w:tmpl w:val="8FA067E0"/>
    <w:lvl w:ilvl="0" w:tplc="FB5ED16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3F60"/>
    <w:multiLevelType w:val="hybridMultilevel"/>
    <w:tmpl w:val="B8E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466241"/>
    <w:multiLevelType w:val="hybridMultilevel"/>
    <w:tmpl w:val="E1540196"/>
    <w:lvl w:ilvl="0" w:tplc="1098ECE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B871F6"/>
    <w:multiLevelType w:val="hybridMultilevel"/>
    <w:tmpl w:val="65FC08A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194D19"/>
    <w:multiLevelType w:val="hybridMultilevel"/>
    <w:tmpl w:val="F36C4176"/>
    <w:lvl w:ilvl="0" w:tplc="040C0001">
      <w:start w:val="1"/>
      <w:numFmt w:val="bullet"/>
      <w:lvlText w:val=""/>
      <w:lvlJc w:val="left"/>
      <w:pPr>
        <w:ind w:left="654" w:hanging="360"/>
      </w:pPr>
      <w:rPr>
        <w:rFonts w:ascii="Symbol" w:hAnsi="Symbol" w:hint="default"/>
      </w:rPr>
    </w:lvl>
    <w:lvl w:ilvl="1" w:tplc="040C0003" w:tentative="1">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8" w15:restartNumberingAfterBreak="0">
    <w:nsid w:val="2E4957FE"/>
    <w:multiLevelType w:val="hybridMultilevel"/>
    <w:tmpl w:val="AF12C516"/>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0323E6"/>
    <w:multiLevelType w:val="hybridMultilevel"/>
    <w:tmpl w:val="D4426DF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8F1166"/>
    <w:multiLevelType w:val="hybridMultilevel"/>
    <w:tmpl w:val="48927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2621C4"/>
    <w:multiLevelType w:val="hybridMultilevel"/>
    <w:tmpl w:val="CF22F952"/>
    <w:lvl w:ilvl="0" w:tplc="7090B8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A449E1"/>
    <w:multiLevelType w:val="hybridMultilevel"/>
    <w:tmpl w:val="258E40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6B5B22"/>
    <w:multiLevelType w:val="hybridMultilevel"/>
    <w:tmpl w:val="04244B5A"/>
    <w:lvl w:ilvl="0" w:tplc="73946746">
      <w:numFmt w:val="bullet"/>
      <w:lvlText w:val=""/>
      <w:lvlJc w:val="left"/>
      <w:pPr>
        <w:ind w:left="1080" w:hanging="360"/>
      </w:pPr>
      <w:rPr>
        <w:rFonts w:ascii="Wingdings 2" w:eastAsiaTheme="minorEastAsia" w:hAnsi="Wingdings 2"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2F5672C"/>
    <w:multiLevelType w:val="multilevel"/>
    <w:tmpl w:val="8DCC5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985895"/>
    <w:multiLevelType w:val="hybridMultilevel"/>
    <w:tmpl w:val="C3BECAB0"/>
    <w:lvl w:ilvl="0" w:tplc="502E8B8A">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15:restartNumberingAfterBreak="0">
    <w:nsid w:val="47D90C63"/>
    <w:multiLevelType w:val="hybridMultilevel"/>
    <w:tmpl w:val="656A1FB8"/>
    <w:lvl w:ilvl="0" w:tplc="73946746">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FE0803"/>
    <w:multiLevelType w:val="hybridMultilevel"/>
    <w:tmpl w:val="24FC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E36EC7"/>
    <w:multiLevelType w:val="hybridMultilevel"/>
    <w:tmpl w:val="4A6CA5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A2799F"/>
    <w:multiLevelType w:val="hybridMultilevel"/>
    <w:tmpl w:val="170C6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6023126">
    <w:abstractNumId w:val="2"/>
  </w:num>
  <w:num w:numId="2" w16cid:durableId="305280941">
    <w:abstractNumId w:val="0"/>
  </w:num>
  <w:num w:numId="3" w16cid:durableId="1841963986">
    <w:abstractNumId w:val="14"/>
  </w:num>
  <w:num w:numId="4" w16cid:durableId="544879404">
    <w:abstractNumId w:val="3"/>
  </w:num>
  <w:num w:numId="5" w16cid:durableId="1583874407">
    <w:abstractNumId w:val="12"/>
  </w:num>
  <w:num w:numId="6" w16cid:durableId="1770201466">
    <w:abstractNumId w:val="17"/>
  </w:num>
  <w:num w:numId="7" w16cid:durableId="637876014">
    <w:abstractNumId w:val="19"/>
  </w:num>
  <w:num w:numId="8" w16cid:durableId="1355229985">
    <w:abstractNumId w:val="10"/>
  </w:num>
  <w:num w:numId="9" w16cid:durableId="1543248764">
    <w:abstractNumId w:val="18"/>
  </w:num>
  <w:num w:numId="10" w16cid:durableId="1735662616">
    <w:abstractNumId w:val="5"/>
  </w:num>
  <w:num w:numId="11" w16cid:durableId="874973412">
    <w:abstractNumId w:val="4"/>
  </w:num>
  <w:num w:numId="12" w16cid:durableId="91557674">
    <w:abstractNumId w:val="1"/>
  </w:num>
  <w:num w:numId="13" w16cid:durableId="368334617">
    <w:abstractNumId w:val="11"/>
  </w:num>
  <w:num w:numId="14" w16cid:durableId="81875255">
    <w:abstractNumId w:val="15"/>
  </w:num>
  <w:num w:numId="15" w16cid:durableId="523860124">
    <w:abstractNumId w:val="11"/>
  </w:num>
  <w:num w:numId="16" w16cid:durableId="451361502">
    <w:abstractNumId w:val="6"/>
  </w:num>
  <w:num w:numId="17" w16cid:durableId="180514367">
    <w:abstractNumId w:val="16"/>
  </w:num>
  <w:num w:numId="18" w16cid:durableId="95171754">
    <w:abstractNumId w:val="13"/>
  </w:num>
  <w:num w:numId="19" w16cid:durableId="750590363">
    <w:abstractNumId w:val="8"/>
  </w:num>
  <w:num w:numId="20" w16cid:durableId="91821508">
    <w:abstractNumId w:val="9"/>
  </w:num>
  <w:num w:numId="21" w16cid:durableId="1217708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rrs3A2/F6er6rw9q8PVmDc3Y0t1Go8Pgux4Wb1QYj3KvdL1Gc05LWOINThGAZ6gV5XvgRkB1Wdie0fMToqdGQ==" w:salt="UpOcCcM5qpVvvLi8iaoWFQ=="/>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57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6F75"/>
    <w:rsid w:val="000178FE"/>
    <w:rsid w:val="00025D17"/>
    <w:rsid w:val="00036269"/>
    <w:rsid w:val="00045B96"/>
    <w:rsid w:val="00046549"/>
    <w:rsid w:val="0005095D"/>
    <w:rsid w:val="000521AE"/>
    <w:rsid w:val="00052D9E"/>
    <w:rsid w:val="00053D7A"/>
    <w:rsid w:val="0005400D"/>
    <w:rsid w:val="000603CA"/>
    <w:rsid w:val="00065DF6"/>
    <w:rsid w:val="00065F1C"/>
    <w:rsid w:val="00070700"/>
    <w:rsid w:val="00090FD7"/>
    <w:rsid w:val="000B1678"/>
    <w:rsid w:val="000B381D"/>
    <w:rsid w:val="000C2BB9"/>
    <w:rsid w:val="000C3C13"/>
    <w:rsid w:val="000C53F8"/>
    <w:rsid w:val="000D100C"/>
    <w:rsid w:val="000D29F8"/>
    <w:rsid w:val="000F3930"/>
    <w:rsid w:val="000F5E61"/>
    <w:rsid w:val="00101051"/>
    <w:rsid w:val="00112312"/>
    <w:rsid w:val="00116743"/>
    <w:rsid w:val="00126855"/>
    <w:rsid w:val="00132ABD"/>
    <w:rsid w:val="00135306"/>
    <w:rsid w:val="001424A6"/>
    <w:rsid w:val="00142D70"/>
    <w:rsid w:val="001448EB"/>
    <w:rsid w:val="00146EEA"/>
    <w:rsid w:val="001545BA"/>
    <w:rsid w:val="00164CBE"/>
    <w:rsid w:val="00165DE7"/>
    <w:rsid w:val="0016732C"/>
    <w:rsid w:val="001757E3"/>
    <w:rsid w:val="001761B5"/>
    <w:rsid w:val="001807E0"/>
    <w:rsid w:val="0018083D"/>
    <w:rsid w:val="001811F7"/>
    <w:rsid w:val="00181490"/>
    <w:rsid w:val="00186B2F"/>
    <w:rsid w:val="00196868"/>
    <w:rsid w:val="001B14C3"/>
    <w:rsid w:val="001B47D7"/>
    <w:rsid w:val="001B7465"/>
    <w:rsid w:val="001B76A2"/>
    <w:rsid w:val="001C4DB6"/>
    <w:rsid w:val="001D3CE4"/>
    <w:rsid w:val="001D7079"/>
    <w:rsid w:val="001E1DC8"/>
    <w:rsid w:val="001F00BA"/>
    <w:rsid w:val="001F14D9"/>
    <w:rsid w:val="002013B9"/>
    <w:rsid w:val="00202570"/>
    <w:rsid w:val="00210DD9"/>
    <w:rsid w:val="00217A94"/>
    <w:rsid w:val="00222A98"/>
    <w:rsid w:val="002236B2"/>
    <w:rsid w:val="00226640"/>
    <w:rsid w:val="00231051"/>
    <w:rsid w:val="0024007F"/>
    <w:rsid w:val="0024265B"/>
    <w:rsid w:val="00242BF0"/>
    <w:rsid w:val="00294AC3"/>
    <w:rsid w:val="002B4A7E"/>
    <w:rsid w:val="002C24C4"/>
    <w:rsid w:val="002C5E9B"/>
    <w:rsid w:val="002F06B2"/>
    <w:rsid w:val="002F1AFB"/>
    <w:rsid w:val="002F4CC7"/>
    <w:rsid w:val="002F6D9D"/>
    <w:rsid w:val="003006B3"/>
    <w:rsid w:val="00305B8A"/>
    <w:rsid w:val="003129E1"/>
    <w:rsid w:val="00320C36"/>
    <w:rsid w:val="0032531A"/>
    <w:rsid w:val="00337766"/>
    <w:rsid w:val="003515CD"/>
    <w:rsid w:val="00352F95"/>
    <w:rsid w:val="00364683"/>
    <w:rsid w:val="003646BC"/>
    <w:rsid w:val="0037263D"/>
    <w:rsid w:val="0038470E"/>
    <w:rsid w:val="00385D64"/>
    <w:rsid w:val="003863FE"/>
    <w:rsid w:val="00391461"/>
    <w:rsid w:val="003958FE"/>
    <w:rsid w:val="003B4AFF"/>
    <w:rsid w:val="003C1272"/>
    <w:rsid w:val="003C3CFB"/>
    <w:rsid w:val="003C43FA"/>
    <w:rsid w:val="003D2421"/>
    <w:rsid w:val="003D33B3"/>
    <w:rsid w:val="003D43F7"/>
    <w:rsid w:val="003E750F"/>
    <w:rsid w:val="003F0961"/>
    <w:rsid w:val="003F1AE6"/>
    <w:rsid w:val="003F30C7"/>
    <w:rsid w:val="003F60A9"/>
    <w:rsid w:val="00400B4D"/>
    <w:rsid w:val="00430395"/>
    <w:rsid w:val="00435934"/>
    <w:rsid w:val="0044106B"/>
    <w:rsid w:val="00443691"/>
    <w:rsid w:val="00443D96"/>
    <w:rsid w:val="0044650B"/>
    <w:rsid w:val="00464F4F"/>
    <w:rsid w:val="00470663"/>
    <w:rsid w:val="00473785"/>
    <w:rsid w:val="004748CD"/>
    <w:rsid w:val="00485952"/>
    <w:rsid w:val="004862FC"/>
    <w:rsid w:val="004912D9"/>
    <w:rsid w:val="00495548"/>
    <w:rsid w:val="00495757"/>
    <w:rsid w:val="00497851"/>
    <w:rsid w:val="004C06F8"/>
    <w:rsid w:val="004C2617"/>
    <w:rsid w:val="004C6C4D"/>
    <w:rsid w:val="004D0755"/>
    <w:rsid w:val="004D2759"/>
    <w:rsid w:val="004D518C"/>
    <w:rsid w:val="004F31BD"/>
    <w:rsid w:val="004F33E5"/>
    <w:rsid w:val="00500622"/>
    <w:rsid w:val="005124C4"/>
    <w:rsid w:val="00524A45"/>
    <w:rsid w:val="00532F80"/>
    <w:rsid w:val="005353AB"/>
    <w:rsid w:val="00543A9A"/>
    <w:rsid w:val="00545BD8"/>
    <w:rsid w:val="00551DB9"/>
    <w:rsid w:val="00560ABE"/>
    <w:rsid w:val="00563439"/>
    <w:rsid w:val="00565F6C"/>
    <w:rsid w:val="00565F72"/>
    <w:rsid w:val="005671F3"/>
    <w:rsid w:val="00575AE1"/>
    <w:rsid w:val="0057753F"/>
    <w:rsid w:val="00577E34"/>
    <w:rsid w:val="00581EB0"/>
    <w:rsid w:val="0059663E"/>
    <w:rsid w:val="005A4D97"/>
    <w:rsid w:val="005B35EA"/>
    <w:rsid w:val="005C30CB"/>
    <w:rsid w:val="005C3336"/>
    <w:rsid w:val="005C6AD0"/>
    <w:rsid w:val="005C7F37"/>
    <w:rsid w:val="005D20F1"/>
    <w:rsid w:val="005E0F5B"/>
    <w:rsid w:val="005E5802"/>
    <w:rsid w:val="005E5866"/>
    <w:rsid w:val="005F04C4"/>
    <w:rsid w:val="005F2829"/>
    <w:rsid w:val="005F2F60"/>
    <w:rsid w:val="00600B25"/>
    <w:rsid w:val="00603FD2"/>
    <w:rsid w:val="00607596"/>
    <w:rsid w:val="00607B77"/>
    <w:rsid w:val="0061240A"/>
    <w:rsid w:val="00620252"/>
    <w:rsid w:val="006368A7"/>
    <w:rsid w:val="00645A37"/>
    <w:rsid w:val="00655546"/>
    <w:rsid w:val="00660830"/>
    <w:rsid w:val="0066262A"/>
    <w:rsid w:val="00670A46"/>
    <w:rsid w:val="00674CAB"/>
    <w:rsid w:val="006857E9"/>
    <w:rsid w:val="00687E54"/>
    <w:rsid w:val="00693704"/>
    <w:rsid w:val="006A5F9B"/>
    <w:rsid w:val="006B2314"/>
    <w:rsid w:val="006B3021"/>
    <w:rsid w:val="006E411E"/>
    <w:rsid w:val="006F0551"/>
    <w:rsid w:val="006F48B2"/>
    <w:rsid w:val="006F6E70"/>
    <w:rsid w:val="00700194"/>
    <w:rsid w:val="00705523"/>
    <w:rsid w:val="00724E6D"/>
    <w:rsid w:val="00731635"/>
    <w:rsid w:val="007428C5"/>
    <w:rsid w:val="0075124B"/>
    <w:rsid w:val="007606B1"/>
    <w:rsid w:val="007645DA"/>
    <w:rsid w:val="00765A0E"/>
    <w:rsid w:val="00776DC6"/>
    <w:rsid w:val="0078327D"/>
    <w:rsid w:val="007860EA"/>
    <w:rsid w:val="0078730E"/>
    <w:rsid w:val="007925CA"/>
    <w:rsid w:val="00793CDB"/>
    <w:rsid w:val="007A0DFA"/>
    <w:rsid w:val="007A3386"/>
    <w:rsid w:val="007C525E"/>
    <w:rsid w:val="007C7960"/>
    <w:rsid w:val="007D296C"/>
    <w:rsid w:val="007D3B74"/>
    <w:rsid w:val="007D3D23"/>
    <w:rsid w:val="007D7809"/>
    <w:rsid w:val="007F06E5"/>
    <w:rsid w:val="007F1949"/>
    <w:rsid w:val="007F6DB4"/>
    <w:rsid w:val="007F77C7"/>
    <w:rsid w:val="0080051F"/>
    <w:rsid w:val="00805C2A"/>
    <w:rsid w:val="00811A38"/>
    <w:rsid w:val="008157E5"/>
    <w:rsid w:val="0083004C"/>
    <w:rsid w:val="008555DB"/>
    <w:rsid w:val="00856B6B"/>
    <w:rsid w:val="00857FA6"/>
    <w:rsid w:val="00861B01"/>
    <w:rsid w:val="00871132"/>
    <w:rsid w:val="00875F61"/>
    <w:rsid w:val="00880496"/>
    <w:rsid w:val="008834DE"/>
    <w:rsid w:val="00895745"/>
    <w:rsid w:val="00896B0E"/>
    <w:rsid w:val="00897394"/>
    <w:rsid w:val="008A0489"/>
    <w:rsid w:val="008A4AAF"/>
    <w:rsid w:val="008A59D8"/>
    <w:rsid w:val="008A72F0"/>
    <w:rsid w:val="008C35EA"/>
    <w:rsid w:val="008C38E9"/>
    <w:rsid w:val="008C5A8A"/>
    <w:rsid w:val="008E0F00"/>
    <w:rsid w:val="008E62FE"/>
    <w:rsid w:val="008F0D54"/>
    <w:rsid w:val="008F3290"/>
    <w:rsid w:val="008F425F"/>
    <w:rsid w:val="008F79DF"/>
    <w:rsid w:val="00904483"/>
    <w:rsid w:val="009044B0"/>
    <w:rsid w:val="00905734"/>
    <w:rsid w:val="0091129C"/>
    <w:rsid w:val="0091191D"/>
    <w:rsid w:val="00912DE1"/>
    <w:rsid w:val="009147E9"/>
    <w:rsid w:val="009204DD"/>
    <w:rsid w:val="00932ED0"/>
    <w:rsid w:val="009367FA"/>
    <w:rsid w:val="00945CCC"/>
    <w:rsid w:val="00946DF5"/>
    <w:rsid w:val="00951C7F"/>
    <w:rsid w:val="0095352F"/>
    <w:rsid w:val="009645ED"/>
    <w:rsid w:val="00967B99"/>
    <w:rsid w:val="009711FB"/>
    <w:rsid w:val="00977B5D"/>
    <w:rsid w:val="009804A3"/>
    <w:rsid w:val="00991565"/>
    <w:rsid w:val="00992CFD"/>
    <w:rsid w:val="009942EF"/>
    <w:rsid w:val="00997259"/>
    <w:rsid w:val="009A6DAA"/>
    <w:rsid w:val="009B06BA"/>
    <w:rsid w:val="009B476C"/>
    <w:rsid w:val="009B592D"/>
    <w:rsid w:val="009C05FE"/>
    <w:rsid w:val="009C6E4E"/>
    <w:rsid w:val="009D0548"/>
    <w:rsid w:val="009D0DD3"/>
    <w:rsid w:val="009D5CED"/>
    <w:rsid w:val="009F2327"/>
    <w:rsid w:val="009F4146"/>
    <w:rsid w:val="009F5E70"/>
    <w:rsid w:val="00A0331D"/>
    <w:rsid w:val="00A13B98"/>
    <w:rsid w:val="00A21982"/>
    <w:rsid w:val="00A27C80"/>
    <w:rsid w:val="00A3095F"/>
    <w:rsid w:val="00A41A56"/>
    <w:rsid w:val="00A43FC5"/>
    <w:rsid w:val="00A51071"/>
    <w:rsid w:val="00A548D5"/>
    <w:rsid w:val="00A606FA"/>
    <w:rsid w:val="00A66157"/>
    <w:rsid w:val="00A80CCE"/>
    <w:rsid w:val="00A951BF"/>
    <w:rsid w:val="00AA0BFE"/>
    <w:rsid w:val="00AA1214"/>
    <w:rsid w:val="00AC4CFB"/>
    <w:rsid w:val="00AC5CF3"/>
    <w:rsid w:val="00AD3906"/>
    <w:rsid w:val="00AD3EE4"/>
    <w:rsid w:val="00AD54FA"/>
    <w:rsid w:val="00B037C4"/>
    <w:rsid w:val="00B120AB"/>
    <w:rsid w:val="00B13F8B"/>
    <w:rsid w:val="00B16F07"/>
    <w:rsid w:val="00B20E22"/>
    <w:rsid w:val="00B31BB8"/>
    <w:rsid w:val="00B340CD"/>
    <w:rsid w:val="00B36161"/>
    <w:rsid w:val="00B41E9C"/>
    <w:rsid w:val="00B522FD"/>
    <w:rsid w:val="00B651FC"/>
    <w:rsid w:val="00B8333F"/>
    <w:rsid w:val="00B84F23"/>
    <w:rsid w:val="00B87EB4"/>
    <w:rsid w:val="00B9042D"/>
    <w:rsid w:val="00B906E7"/>
    <w:rsid w:val="00B927C8"/>
    <w:rsid w:val="00BA6C66"/>
    <w:rsid w:val="00BB60B5"/>
    <w:rsid w:val="00BC07F3"/>
    <w:rsid w:val="00BD1560"/>
    <w:rsid w:val="00BD2CD6"/>
    <w:rsid w:val="00BD3A0F"/>
    <w:rsid w:val="00BD426F"/>
    <w:rsid w:val="00C13C5A"/>
    <w:rsid w:val="00C22C00"/>
    <w:rsid w:val="00C31420"/>
    <w:rsid w:val="00C42572"/>
    <w:rsid w:val="00C555DC"/>
    <w:rsid w:val="00C64CCE"/>
    <w:rsid w:val="00C65564"/>
    <w:rsid w:val="00C71B25"/>
    <w:rsid w:val="00C8613F"/>
    <w:rsid w:val="00C93E4C"/>
    <w:rsid w:val="00C9413D"/>
    <w:rsid w:val="00C94804"/>
    <w:rsid w:val="00C96031"/>
    <w:rsid w:val="00CA2CB6"/>
    <w:rsid w:val="00CA2F2A"/>
    <w:rsid w:val="00CA54E7"/>
    <w:rsid w:val="00CB1232"/>
    <w:rsid w:val="00CB1BF3"/>
    <w:rsid w:val="00CB4539"/>
    <w:rsid w:val="00CC59A2"/>
    <w:rsid w:val="00CD5EBB"/>
    <w:rsid w:val="00CD610E"/>
    <w:rsid w:val="00CF1032"/>
    <w:rsid w:val="00CF1B65"/>
    <w:rsid w:val="00D10295"/>
    <w:rsid w:val="00D14672"/>
    <w:rsid w:val="00D222B9"/>
    <w:rsid w:val="00D22CAB"/>
    <w:rsid w:val="00D31341"/>
    <w:rsid w:val="00D4334D"/>
    <w:rsid w:val="00D5379D"/>
    <w:rsid w:val="00D56745"/>
    <w:rsid w:val="00D6177B"/>
    <w:rsid w:val="00D679E7"/>
    <w:rsid w:val="00D7177F"/>
    <w:rsid w:val="00D811FB"/>
    <w:rsid w:val="00D95232"/>
    <w:rsid w:val="00DC4FC9"/>
    <w:rsid w:val="00DC66B7"/>
    <w:rsid w:val="00DE3144"/>
    <w:rsid w:val="00DE3CF5"/>
    <w:rsid w:val="00DF6C7F"/>
    <w:rsid w:val="00E032C9"/>
    <w:rsid w:val="00E10095"/>
    <w:rsid w:val="00E12D7B"/>
    <w:rsid w:val="00E1459F"/>
    <w:rsid w:val="00E25F75"/>
    <w:rsid w:val="00E27016"/>
    <w:rsid w:val="00E36DEA"/>
    <w:rsid w:val="00E45491"/>
    <w:rsid w:val="00E464E8"/>
    <w:rsid w:val="00E51025"/>
    <w:rsid w:val="00E72EA3"/>
    <w:rsid w:val="00E76275"/>
    <w:rsid w:val="00E8016A"/>
    <w:rsid w:val="00E81338"/>
    <w:rsid w:val="00E819D6"/>
    <w:rsid w:val="00E8661D"/>
    <w:rsid w:val="00E86CCF"/>
    <w:rsid w:val="00E90F72"/>
    <w:rsid w:val="00E93E23"/>
    <w:rsid w:val="00E959D3"/>
    <w:rsid w:val="00EA204B"/>
    <w:rsid w:val="00EA3215"/>
    <w:rsid w:val="00EA58B2"/>
    <w:rsid w:val="00EC095B"/>
    <w:rsid w:val="00ED2904"/>
    <w:rsid w:val="00ED3FB4"/>
    <w:rsid w:val="00EF0EA7"/>
    <w:rsid w:val="00EF3243"/>
    <w:rsid w:val="00EF3D63"/>
    <w:rsid w:val="00F100A7"/>
    <w:rsid w:val="00F27D4F"/>
    <w:rsid w:val="00F35169"/>
    <w:rsid w:val="00F370B5"/>
    <w:rsid w:val="00F5228F"/>
    <w:rsid w:val="00F57233"/>
    <w:rsid w:val="00F611E4"/>
    <w:rsid w:val="00F6390A"/>
    <w:rsid w:val="00F65E66"/>
    <w:rsid w:val="00F72D5D"/>
    <w:rsid w:val="00F84687"/>
    <w:rsid w:val="00F860FB"/>
    <w:rsid w:val="00F90B51"/>
    <w:rsid w:val="00F92E5B"/>
    <w:rsid w:val="00FA2F61"/>
    <w:rsid w:val="00FA4356"/>
    <w:rsid w:val="00FA58E3"/>
    <w:rsid w:val="00FA70AA"/>
    <w:rsid w:val="00FB6603"/>
    <w:rsid w:val="00FD715D"/>
    <w:rsid w:val="00FE156A"/>
    <w:rsid w:val="00FE1E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BA4"/>
  </w:style>
  <w:style w:type="paragraph" w:styleId="Titre1">
    <w:name w:val="heading 1"/>
    <w:basedOn w:val="Normal"/>
    <w:next w:val="Normal"/>
    <w:link w:val="Titre1Car"/>
    <w:uiPriority w:val="9"/>
    <w:qFormat/>
    <w:rsid w:val="00002BA4"/>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iPriority w:val="9"/>
    <w:semiHidden/>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D2CD6"/>
    <w:rPr>
      <w:rFonts w:ascii="Tahoma" w:hAnsi="Tahoma" w:cs="Tahoma"/>
      <w:sz w:val="16"/>
      <w:szCs w:val="16"/>
    </w:rPr>
  </w:style>
  <w:style w:type="paragraph" w:styleId="Pieddepage">
    <w:name w:val="footer"/>
    <w:basedOn w:val="Normal"/>
    <w:link w:val="PieddepageCar"/>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uiPriority w:val="99"/>
    <w:rsid w:val="008A59D8"/>
    <w:pPr>
      <w:tabs>
        <w:tab w:val="center" w:pos="4536"/>
        <w:tab w:val="right" w:pos="9072"/>
      </w:tabs>
    </w:pPr>
  </w:style>
  <w:style w:type="character" w:customStyle="1" w:styleId="En-tteCar">
    <w:name w:val="En-tête Car"/>
    <w:basedOn w:val="Policepardfaut"/>
    <w:link w:val="En-tte"/>
    <w:uiPriority w:val="99"/>
    <w:rsid w:val="007F06E5"/>
    <w:rPr>
      <w:rFonts w:ascii="Univers" w:hAnsi="Univers"/>
    </w:rPr>
  </w:style>
  <w:style w:type="character" w:customStyle="1" w:styleId="PieddepageCar">
    <w:name w:val="Pied de page Car"/>
    <w:basedOn w:val="Policepardfaut"/>
    <w:link w:val="Pieddepage"/>
    <w:rsid w:val="00904483"/>
    <w:rPr>
      <w:rFonts w:ascii="Univers" w:hAnsi="Univers"/>
    </w:rPr>
  </w:style>
  <w:style w:type="character" w:customStyle="1" w:styleId="Titre1Car">
    <w:name w:val="Titre 1 Car"/>
    <w:basedOn w:val="Policepardfaut"/>
    <w:link w:val="Titre1"/>
    <w:uiPriority w:val="9"/>
    <w:rsid w:val="00002BA4"/>
    <w:rPr>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uiPriority w:val="9"/>
    <w:semiHidden/>
    <w:rsid w:val="00002BA4"/>
    <w:rPr>
      <w:caps/>
      <w:spacing w:val="15"/>
      <w:shd w:val="clear" w:color="auto" w:fill="F6D9DE" w:themeFill="accent1" w:themeFillTint="33"/>
    </w:rPr>
  </w:style>
  <w:style w:type="character" w:customStyle="1" w:styleId="Titre3Car">
    <w:name w:val="Titre 3 Car"/>
    <w:basedOn w:val="Policepardfaut"/>
    <w:link w:val="Titre3"/>
    <w:uiPriority w:val="9"/>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uiPriority w:val="9"/>
    <w:semiHidden/>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uiPriority w:val="22"/>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CDG 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2B54-ED47-4232-A6AD-D2F3B928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476</Words>
  <Characters>2736</Characters>
  <Application>Microsoft Office Word</Application>
  <DocSecurity>8</DocSecurity>
  <Lines>22</Lines>
  <Paragraphs>6</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Amélie HEBERT</cp:lastModifiedBy>
  <cp:revision>9</cp:revision>
  <cp:lastPrinted>2018-09-14T09:14:00Z</cp:lastPrinted>
  <dcterms:created xsi:type="dcterms:W3CDTF">2023-01-27T13:30:00Z</dcterms:created>
  <dcterms:modified xsi:type="dcterms:W3CDTF">2023-02-09T11:15:00Z</dcterms:modified>
</cp:coreProperties>
</file>