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1EBB" w14:textId="77777777" w:rsidR="009C5CF9" w:rsidRPr="006C2FA0" w:rsidRDefault="009C5CF9" w:rsidP="009C5CF9">
      <w:pPr>
        <w:spacing w:after="0" w:line="240" w:lineRule="auto"/>
        <w:ind w:left="2127"/>
        <w:jc w:val="center"/>
        <w:rPr>
          <w:rFonts w:ascii="Century Gothic" w:hAnsi="Century Gothic"/>
          <w:sz w:val="28"/>
          <w:szCs w:val="28"/>
        </w:rPr>
      </w:pPr>
      <w:r>
        <w:rPr>
          <w:noProof/>
        </w:rPr>
        <w:drawing>
          <wp:anchor distT="0" distB="0" distL="114300" distR="114300" simplePos="0" relativeHeight="251659264" behindDoc="0" locked="0" layoutInCell="1" allowOverlap="1" wp14:anchorId="10DFC99E" wp14:editId="74465EE7">
            <wp:simplePos x="0" y="0"/>
            <wp:positionH relativeFrom="column">
              <wp:posOffset>20682</wp:posOffset>
            </wp:positionH>
            <wp:positionV relativeFrom="paragraph">
              <wp:posOffset>-399415</wp:posOffset>
            </wp:positionV>
            <wp:extent cx="2334986" cy="1041681"/>
            <wp:effectExtent l="0" t="0" r="8255"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4986" cy="10416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D7FA" w14:textId="77777777" w:rsidR="009C5CF9" w:rsidRPr="006C2FA0" w:rsidRDefault="009C5CF9" w:rsidP="009C5CF9">
      <w:pPr>
        <w:spacing w:after="0" w:line="240" w:lineRule="auto"/>
        <w:ind w:left="2127"/>
        <w:jc w:val="center"/>
        <w:rPr>
          <w:rFonts w:ascii="Century Gothic" w:hAnsi="Century Gothic"/>
          <w:sz w:val="28"/>
          <w:szCs w:val="28"/>
        </w:rPr>
      </w:pPr>
    </w:p>
    <w:p w14:paraId="03398F2E" w14:textId="77777777" w:rsidR="009C5CF9" w:rsidRPr="006C2FA0" w:rsidRDefault="009C5CF9" w:rsidP="009C5CF9">
      <w:pPr>
        <w:spacing w:after="0" w:line="240" w:lineRule="auto"/>
        <w:ind w:left="2127"/>
        <w:jc w:val="center"/>
        <w:rPr>
          <w:rFonts w:ascii="Century Gothic" w:hAnsi="Century Gothic"/>
          <w:sz w:val="28"/>
          <w:szCs w:val="28"/>
        </w:rPr>
      </w:pPr>
    </w:p>
    <w:p w14:paraId="523686D7" w14:textId="77777777" w:rsidR="009C5CF9" w:rsidRDefault="009C5CF9" w:rsidP="009C5CF9">
      <w:pPr>
        <w:spacing w:after="0" w:line="240" w:lineRule="auto"/>
        <w:ind w:left="2127"/>
        <w:jc w:val="center"/>
        <w:rPr>
          <w:rFonts w:ascii="Century Gothic" w:hAnsi="Century Gothic"/>
          <w:sz w:val="28"/>
          <w:szCs w:val="28"/>
        </w:rPr>
      </w:pPr>
    </w:p>
    <w:p w14:paraId="37ED85D9" w14:textId="77777777" w:rsidR="009C5CF9" w:rsidRDefault="009C5CF9" w:rsidP="009C5CF9">
      <w:pPr>
        <w:spacing w:after="0" w:line="240" w:lineRule="auto"/>
        <w:ind w:left="2127"/>
        <w:jc w:val="center"/>
        <w:rPr>
          <w:rFonts w:ascii="Century Gothic" w:hAnsi="Century Gothic"/>
          <w:sz w:val="28"/>
          <w:szCs w:val="28"/>
        </w:rPr>
      </w:pPr>
    </w:p>
    <w:p w14:paraId="1FFE556C" w14:textId="77777777" w:rsidR="009C5CF9" w:rsidRDefault="009C5CF9" w:rsidP="009C5CF9">
      <w:pPr>
        <w:spacing w:after="0" w:line="240" w:lineRule="auto"/>
        <w:ind w:left="2127"/>
        <w:jc w:val="center"/>
        <w:rPr>
          <w:rFonts w:ascii="Century Gothic" w:hAnsi="Century Gothic"/>
          <w:sz w:val="28"/>
          <w:szCs w:val="28"/>
        </w:rPr>
      </w:pPr>
    </w:p>
    <w:p w14:paraId="0DC081FD" w14:textId="77777777" w:rsidR="009C5CF9" w:rsidRPr="006C2FA0" w:rsidRDefault="009C5CF9" w:rsidP="009C5CF9">
      <w:pPr>
        <w:spacing w:after="0" w:line="240" w:lineRule="auto"/>
        <w:ind w:left="2127"/>
        <w:jc w:val="center"/>
        <w:rPr>
          <w:rFonts w:ascii="Century Gothic" w:hAnsi="Century Gothic"/>
          <w:sz w:val="28"/>
          <w:szCs w:val="28"/>
        </w:rPr>
      </w:pPr>
    </w:p>
    <w:p w14:paraId="0E330B2D" w14:textId="7B160ACC" w:rsidR="009C5CF9" w:rsidRPr="006C2FA0" w:rsidRDefault="009C5CF9" w:rsidP="009C5CF9">
      <w:pPr>
        <w:spacing w:after="0" w:line="240" w:lineRule="auto"/>
        <w:ind w:left="2127"/>
        <w:jc w:val="center"/>
        <w:rPr>
          <w:rFonts w:ascii="Century Gothic" w:hAnsi="Century Gothic"/>
          <w:b/>
          <w:bCs/>
          <w:sz w:val="28"/>
          <w:szCs w:val="28"/>
        </w:rPr>
      </w:pPr>
      <w:r w:rsidRPr="007B3D61">
        <w:rPr>
          <w:rFonts w:ascii="Century Gothic" w:eastAsia="Franklin Gothic" w:hAnsi="Century Gothic"/>
          <w:b/>
          <w:bCs/>
          <w:sz w:val="28"/>
          <w:szCs w:val="28"/>
        </w:rPr>
        <w:t xml:space="preserve">Convention d’adhésion au service </w:t>
      </w:r>
      <w:r w:rsidR="00E21E91" w:rsidRPr="007B3D61">
        <w:rPr>
          <w:rFonts w:ascii="Century Gothic" w:eastAsia="Franklin Gothic" w:hAnsi="Century Gothic"/>
          <w:b/>
          <w:bCs/>
          <w:sz w:val="28"/>
          <w:szCs w:val="28"/>
        </w:rPr>
        <w:t>de gestion administrative</w:t>
      </w:r>
      <w:r w:rsidRPr="007B3D61">
        <w:rPr>
          <w:rFonts w:ascii="Century Gothic" w:eastAsia="Franklin Gothic" w:hAnsi="Century Gothic"/>
          <w:b/>
          <w:bCs/>
          <w:sz w:val="28"/>
          <w:szCs w:val="28"/>
        </w:rPr>
        <w:t xml:space="preserve"> d’un collège référent déontologue de l’élu local</w:t>
      </w:r>
    </w:p>
    <w:p w14:paraId="57406AE7" w14:textId="77777777" w:rsidR="009C5CF9" w:rsidRDefault="009C5CF9" w:rsidP="009C5CF9">
      <w:pPr>
        <w:spacing w:after="0" w:line="240" w:lineRule="auto"/>
        <w:ind w:left="2127"/>
        <w:jc w:val="center"/>
        <w:rPr>
          <w:rFonts w:ascii="Century Gothic" w:hAnsi="Century Gothic"/>
          <w:b/>
          <w:bCs/>
          <w:sz w:val="28"/>
          <w:szCs w:val="28"/>
        </w:rPr>
      </w:pPr>
    </w:p>
    <w:p w14:paraId="29C7B905" w14:textId="77777777" w:rsidR="009C5CF9" w:rsidRDefault="009C5CF9" w:rsidP="009C5CF9">
      <w:pPr>
        <w:spacing w:after="0" w:line="240" w:lineRule="auto"/>
        <w:ind w:left="2127"/>
        <w:jc w:val="center"/>
        <w:rPr>
          <w:rFonts w:ascii="Century Gothic" w:hAnsi="Century Gothic"/>
          <w:b/>
          <w:bCs/>
          <w:sz w:val="28"/>
          <w:szCs w:val="28"/>
        </w:rPr>
      </w:pPr>
    </w:p>
    <w:p w14:paraId="35303793" w14:textId="77777777" w:rsidR="009C5CF9" w:rsidRDefault="009C5CF9" w:rsidP="009C5CF9">
      <w:pPr>
        <w:spacing w:after="0" w:line="240" w:lineRule="auto"/>
        <w:ind w:left="2127"/>
        <w:jc w:val="center"/>
        <w:rPr>
          <w:rFonts w:ascii="Century Gothic" w:hAnsi="Century Gothic"/>
          <w:b/>
          <w:bCs/>
          <w:sz w:val="28"/>
          <w:szCs w:val="28"/>
        </w:rPr>
      </w:pPr>
    </w:p>
    <w:p w14:paraId="4EE9042B" w14:textId="493B9056" w:rsidR="00B249C9" w:rsidRPr="009C5CF9" w:rsidRDefault="005E3B0A" w:rsidP="005E3B0A">
      <w:pPr>
        <w:autoSpaceDE w:val="0"/>
        <w:autoSpaceDN w:val="0"/>
        <w:adjustRightInd w:val="0"/>
        <w:spacing w:after="0" w:line="240" w:lineRule="auto"/>
        <w:jc w:val="both"/>
        <w:rPr>
          <w:rFonts w:ascii="Century Gothic" w:hAnsi="Century Gothic" w:cs="Tahoma"/>
        </w:rPr>
      </w:pPr>
      <w:r w:rsidRPr="009C5CF9">
        <w:rPr>
          <w:rFonts w:ascii="Century Gothic" w:hAnsi="Century Gothic" w:cs="Tahoma"/>
          <w:b/>
        </w:rPr>
        <w:t>Entre</w:t>
      </w:r>
      <w:r w:rsidR="00D7142C" w:rsidRPr="009C5CF9">
        <w:rPr>
          <w:rFonts w:ascii="Century Gothic" w:hAnsi="Century Gothic" w:cs="Tahoma"/>
          <w:b/>
        </w:rPr>
        <w:t> </w:t>
      </w:r>
      <w:r w:rsidR="00D7142C" w:rsidRPr="009C5CF9">
        <w:rPr>
          <w:rFonts w:ascii="Century Gothic" w:hAnsi="Century Gothic" w:cs="Tahoma"/>
        </w:rPr>
        <w:t>:</w:t>
      </w:r>
    </w:p>
    <w:p w14:paraId="5C51C29B" w14:textId="77777777" w:rsidR="00B249C9" w:rsidRPr="009C5CF9" w:rsidRDefault="00B249C9" w:rsidP="00B249C9">
      <w:pPr>
        <w:tabs>
          <w:tab w:val="left" w:pos="3261"/>
          <w:tab w:val="left" w:leader="dot" w:pos="9072"/>
        </w:tabs>
        <w:autoSpaceDE w:val="0"/>
        <w:autoSpaceDN w:val="0"/>
        <w:adjustRightInd w:val="0"/>
        <w:spacing w:before="240" w:after="0" w:line="240" w:lineRule="auto"/>
        <w:jc w:val="both"/>
        <w:rPr>
          <w:rFonts w:ascii="Century Gothic" w:hAnsi="Century Gothic" w:cs="Tahoma"/>
        </w:rPr>
      </w:pPr>
      <w:r w:rsidRPr="009C5CF9">
        <w:rPr>
          <w:rFonts w:ascii="Century Gothic" w:hAnsi="Century Gothic" w:cs="Tahoma"/>
          <w:b/>
        </w:rPr>
        <w:t>Collectivité ou établissement :</w:t>
      </w:r>
      <w:r w:rsidRPr="009C5CF9">
        <w:rPr>
          <w:rFonts w:ascii="Century Gothic" w:hAnsi="Century Gothic" w:cs="Tahoma"/>
          <w:b/>
        </w:rPr>
        <w:tab/>
      </w:r>
      <w:r w:rsidR="006C11E2" w:rsidRPr="009C5CF9">
        <w:rPr>
          <w:rFonts w:ascii="Century Gothic" w:hAnsi="Century Gothic" w:cs="Tahoma"/>
        </w:rPr>
        <w:tab/>
      </w:r>
    </w:p>
    <w:p w14:paraId="47A39E1B" w14:textId="77777777" w:rsidR="005E3B0A" w:rsidRPr="009C5CF9" w:rsidRDefault="006C11E2" w:rsidP="006C11E2">
      <w:pPr>
        <w:tabs>
          <w:tab w:val="left" w:pos="567"/>
          <w:tab w:val="left" w:pos="3261"/>
          <w:tab w:val="left" w:leader="dot" w:pos="9072"/>
        </w:tabs>
        <w:autoSpaceDE w:val="0"/>
        <w:autoSpaceDN w:val="0"/>
        <w:adjustRightInd w:val="0"/>
        <w:spacing w:before="240" w:after="0" w:line="240" w:lineRule="auto"/>
        <w:ind w:left="567"/>
        <w:jc w:val="both"/>
        <w:rPr>
          <w:rFonts w:ascii="Century Gothic" w:hAnsi="Century Gothic" w:cs="Tahoma"/>
        </w:rPr>
      </w:pPr>
      <w:r w:rsidRPr="009C5CF9">
        <w:rPr>
          <w:rFonts w:ascii="Century Gothic" w:hAnsi="Century Gothic" w:cs="Tahoma"/>
          <w:b/>
        </w:rPr>
        <w:t>R</w:t>
      </w:r>
      <w:r w:rsidR="005E3B0A" w:rsidRPr="009C5CF9">
        <w:rPr>
          <w:rFonts w:ascii="Century Gothic" w:hAnsi="Century Gothic" w:cs="Tahoma"/>
          <w:b/>
        </w:rPr>
        <w:t>eprésenté</w:t>
      </w:r>
      <w:r w:rsidRPr="009C5CF9">
        <w:rPr>
          <w:rFonts w:ascii="Century Gothic" w:hAnsi="Century Gothic" w:cs="Tahoma"/>
          <w:b/>
        </w:rPr>
        <w:t>(e)</w:t>
      </w:r>
      <w:r w:rsidR="005E3B0A" w:rsidRPr="009C5CF9">
        <w:rPr>
          <w:rFonts w:ascii="Century Gothic" w:hAnsi="Century Gothic" w:cs="Tahoma"/>
          <w:b/>
        </w:rPr>
        <w:t xml:space="preserve"> par</w:t>
      </w:r>
      <w:r w:rsidR="00D7142C" w:rsidRPr="009C5CF9">
        <w:rPr>
          <w:rFonts w:ascii="Century Gothic" w:hAnsi="Century Gothic" w:cs="Tahoma"/>
          <w:b/>
        </w:rPr>
        <w:t> :</w:t>
      </w:r>
      <w:r w:rsidR="00B249C9" w:rsidRPr="009C5CF9">
        <w:rPr>
          <w:rFonts w:ascii="Century Gothic" w:hAnsi="Century Gothic" w:cs="Tahoma"/>
          <w:b/>
        </w:rPr>
        <w:tab/>
      </w:r>
      <w:r w:rsidRPr="009C5CF9">
        <w:rPr>
          <w:rFonts w:ascii="Century Gothic" w:hAnsi="Century Gothic" w:cs="Tahoma"/>
        </w:rPr>
        <w:tab/>
      </w:r>
    </w:p>
    <w:p w14:paraId="6AF55DEE" w14:textId="77777777" w:rsidR="00D7142C" w:rsidRPr="009C5CF9" w:rsidRDefault="00D7142C" w:rsidP="006C11E2">
      <w:pPr>
        <w:tabs>
          <w:tab w:val="left" w:pos="567"/>
          <w:tab w:val="left" w:pos="3261"/>
          <w:tab w:val="left" w:leader="dot" w:pos="9072"/>
        </w:tabs>
        <w:autoSpaceDE w:val="0"/>
        <w:autoSpaceDN w:val="0"/>
        <w:adjustRightInd w:val="0"/>
        <w:spacing w:before="240" w:after="0" w:line="240" w:lineRule="auto"/>
        <w:ind w:left="567"/>
        <w:jc w:val="both"/>
        <w:rPr>
          <w:rFonts w:ascii="Century Gothic" w:hAnsi="Century Gothic" w:cs="Tahoma"/>
        </w:rPr>
      </w:pPr>
      <w:r w:rsidRPr="009C5CF9">
        <w:rPr>
          <w:rFonts w:ascii="Century Gothic" w:hAnsi="Century Gothic" w:cs="Tahoma"/>
          <w:b/>
        </w:rPr>
        <w:t>Fonction :</w:t>
      </w:r>
      <w:r w:rsidRPr="009C5CF9">
        <w:rPr>
          <w:rFonts w:ascii="Century Gothic" w:hAnsi="Century Gothic" w:cs="Tahoma"/>
          <w:b/>
        </w:rPr>
        <w:tab/>
      </w:r>
      <w:r w:rsidR="006C11E2" w:rsidRPr="009C5CF9">
        <w:rPr>
          <w:rFonts w:ascii="Century Gothic" w:hAnsi="Century Gothic" w:cs="Tahoma"/>
        </w:rPr>
        <w:tab/>
      </w:r>
    </w:p>
    <w:p w14:paraId="6221516B" w14:textId="1AA90517" w:rsidR="00D7142C" w:rsidRPr="009C5CF9" w:rsidRDefault="006C11E2" w:rsidP="00D7142C">
      <w:pPr>
        <w:tabs>
          <w:tab w:val="left" w:pos="567"/>
          <w:tab w:val="left" w:leader="dot" w:pos="9072"/>
        </w:tabs>
        <w:autoSpaceDE w:val="0"/>
        <w:autoSpaceDN w:val="0"/>
        <w:adjustRightInd w:val="0"/>
        <w:spacing w:before="240" w:after="0" w:line="240" w:lineRule="auto"/>
        <w:ind w:left="567"/>
        <w:jc w:val="both"/>
        <w:rPr>
          <w:rFonts w:ascii="Century Gothic" w:hAnsi="Century Gothic" w:cs="Tahoma"/>
        </w:rPr>
      </w:pPr>
      <w:proofErr w:type="gramStart"/>
      <w:r w:rsidRPr="009C5CF9">
        <w:rPr>
          <w:rFonts w:ascii="Century Gothic" w:hAnsi="Century Gothic" w:cs="Tahoma"/>
        </w:rPr>
        <w:t>dû</w:t>
      </w:r>
      <w:r w:rsidR="00D7142C" w:rsidRPr="009C5CF9">
        <w:rPr>
          <w:rFonts w:ascii="Century Gothic" w:hAnsi="Century Gothic" w:cs="Tahoma"/>
        </w:rPr>
        <w:t>ment</w:t>
      </w:r>
      <w:proofErr w:type="gramEnd"/>
      <w:r w:rsidR="00D7142C" w:rsidRPr="009C5CF9">
        <w:rPr>
          <w:rFonts w:ascii="Century Gothic" w:hAnsi="Century Gothic" w:cs="Tahoma"/>
        </w:rPr>
        <w:t xml:space="preserve"> habilité</w:t>
      </w:r>
      <w:r w:rsidR="00DF6EA5" w:rsidRPr="009C5CF9">
        <w:rPr>
          <w:rFonts w:ascii="Century Gothic" w:hAnsi="Century Gothic" w:cs="Tahoma"/>
        </w:rPr>
        <w:t>(e)</w:t>
      </w:r>
      <w:r w:rsidR="00D7142C" w:rsidRPr="009C5CF9">
        <w:rPr>
          <w:rFonts w:ascii="Century Gothic" w:hAnsi="Century Gothic" w:cs="Tahoma"/>
        </w:rPr>
        <w:t xml:space="preserve"> par délibération de l’assemblée délibérante du (date) : </w:t>
      </w:r>
      <w:r w:rsidR="00D7142C" w:rsidRPr="009C5CF9">
        <w:rPr>
          <w:rFonts w:ascii="Century Gothic" w:hAnsi="Century Gothic" w:cs="Tahoma"/>
        </w:rPr>
        <w:tab/>
      </w:r>
    </w:p>
    <w:p w14:paraId="333D6DAF" w14:textId="77777777" w:rsidR="005E3B0A" w:rsidRPr="009C5CF9" w:rsidRDefault="005E3B0A" w:rsidP="003E6C68">
      <w:pPr>
        <w:autoSpaceDE w:val="0"/>
        <w:autoSpaceDN w:val="0"/>
        <w:adjustRightInd w:val="0"/>
        <w:spacing w:before="120" w:after="0" w:line="240" w:lineRule="auto"/>
        <w:jc w:val="both"/>
        <w:rPr>
          <w:rFonts w:ascii="Century Gothic" w:hAnsi="Century Gothic" w:cs="Tahoma"/>
        </w:rPr>
      </w:pPr>
    </w:p>
    <w:p w14:paraId="56A5970F" w14:textId="77777777" w:rsidR="005E3B0A" w:rsidRPr="009C5CF9" w:rsidRDefault="005E3B0A" w:rsidP="003E6C68">
      <w:pPr>
        <w:autoSpaceDE w:val="0"/>
        <w:autoSpaceDN w:val="0"/>
        <w:adjustRightInd w:val="0"/>
        <w:spacing w:before="120" w:after="0" w:line="240" w:lineRule="auto"/>
        <w:jc w:val="both"/>
        <w:rPr>
          <w:rFonts w:ascii="Century Gothic" w:hAnsi="Century Gothic" w:cs="Tahoma"/>
          <w:b/>
        </w:rPr>
      </w:pPr>
      <w:r w:rsidRPr="009C5CF9">
        <w:rPr>
          <w:rFonts w:ascii="Century Gothic" w:hAnsi="Century Gothic" w:cs="Tahoma"/>
          <w:b/>
        </w:rPr>
        <w:t>Et</w:t>
      </w:r>
    </w:p>
    <w:p w14:paraId="29A0F50A" w14:textId="77777777" w:rsidR="005E3B0A" w:rsidRPr="009C5CF9" w:rsidRDefault="005E3B0A" w:rsidP="003E6C68">
      <w:pPr>
        <w:autoSpaceDE w:val="0"/>
        <w:autoSpaceDN w:val="0"/>
        <w:adjustRightInd w:val="0"/>
        <w:spacing w:before="120" w:after="0" w:line="240" w:lineRule="auto"/>
        <w:jc w:val="both"/>
        <w:rPr>
          <w:rFonts w:ascii="Century Gothic" w:hAnsi="Century Gothic" w:cs="Tahoma"/>
          <w:bCs/>
        </w:rPr>
      </w:pPr>
    </w:p>
    <w:p w14:paraId="1EE54B44" w14:textId="165B74BF" w:rsidR="005E3B0A" w:rsidRPr="009C5CF9" w:rsidRDefault="005E3B0A" w:rsidP="003E6C68">
      <w:pPr>
        <w:autoSpaceDE w:val="0"/>
        <w:autoSpaceDN w:val="0"/>
        <w:adjustRightInd w:val="0"/>
        <w:spacing w:before="120" w:after="0" w:line="240" w:lineRule="auto"/>
        <w:jc w:val="both"/>
        <w:rPr>
          <w:rFonts w:ascii="Century Gothic" w:hAnsi="Century Gothic" w:cs="Tahoma"/>
          <w:b/>
        </w:rPr>
      </w:pPr>
      <w:r w:rsidRPr="009C5CF9">
        <w:rPr>
          <w:rFonts w:ascii="Century Gothic" w:hAnsi="Century Gothic" w:cs="Tahoma"/>
          <w:b/>
        </w:rPr>
        <w:t xml:space="preserve">Le </w:t>
      </w:r>
      <w:r w:rsidR="009C5CF9" w:rsidRPr="009C5CF9">
        <w:rPr>
          <w:rFonts w:ascii="Century Gothic" w:hAnsi="Century Gothic" w:cs="Tahoma"/>
          <w:b/>
        </w:rPr>
        <w:t>C</w:t>
      </w:r>
      <w:r w:rsidRPr="009C5CF9">
        <w:rPr>
          <w:rFonts w:ascii="Century Gothic" w:hAnsi="Century Gothic" w:cs="Tahoma"/>
          <w:b/>
        </w:rPr>
        <w:t xml:space="preserve">entre de </w:t>
      </w:r>
      <w:r w:rsidR="009C5CF9" w:rsidRPr="009C5CF9">
        <w:rPr>
          <w:rFonts w:ascii="Century Gothic" w:hAnsi="Century Gothic" w:cs="Tahoma"/>
          <w:b/>
        </w:rPr>
        <w:t>G</w:t>
      </w:r>
      <w:r w:rsidRPr="009C5CF9">
        <w:rPr>
          <w:rFonts w:ascii="Century Gothic" w:hAnsi="Century Gothic" w:cs="Tahoma"/>
          <w:b/>
        </w:rPr>
        <w:t>estion</w:t>
      </w:r>
      <w:r w:rsidR="00D7142C" w:rsidRPr="009C5CF9">
        <w:rPr>
          <w:rFonts w:ascii="Century Gothic" w:hAnsi="Century Gothic" w:cs="Tahoma"/>
          <w:b/>
        </w:rPr>
        <w:t xml:space="preserve"> de la </w:t>
      </w:r>
      <w:r w:rsidR="009C5CF9" w:rsidRPr="009C5CF9">
        <w:rPr>
          <w:rFonts w:ascii="Century Gothic" w:hAnsi="Century Gothic" w:cs="Tahoma"/>
          <w:b/>
        </w:rPr>
        <w:t>F</w:t>
      </w:r>
      <w:r w:rsidR="00D7142C" w:rsidRPr="009C5CF9">
        <w:rPr>
          <w:rFonts w:ascii="Century Gothic" w:hAnsi="Century Gothic" w:cs="Tahoma"/>
          <w:b/>
        </w:rPr>
        <w:t xml:space="preserve">onction </w:t>
      </w:r>
      <w:r w:rsidR="009C5CF9" w:rsidRPr="009C5CF9">
        <w:rPr>
          <w:rFonts w:ascii="Century Gothic" w:hAnsi="Century Gothic" w:cs="Tahoma"/>
          <w:b/>
        </w:rPr>
        <w:t>P</w:t>
      </w:r>
      <w:r w:rsidR="005858EC" w:rsidRPr="009C5CF9">
        <w:rPr>
          <w:rFonts w:ascii="Century Gothic" w:hAnsi="Century Gothic" w:cs="Tahoma"/>
          <w:b/>
        </w:rPr>
        <w:t xml:space="preserve">ublique </w:t>
      </w:r>
      <w:r w:rsidR="009C5CF9" w:rsidRPr="009C5CF9">
        <w:rPr>
          <w:rFonts w:ascii="Century Gothic" w:hAnsi="Century Gothic" w:cs="Tahoma"/>
          <w:b/>
        </w:rPr>
        <w:t>T</w:t>
      </w:r>
      <w:r w:rsidR="005858EC" w:rsidRPr="009C5CF9">
        <w:rPr>
          <w:rFonts w:ascii="Century Gothic" w:hAnsi="Century Gothic" w:cs="Tahoma"/>
          <w:b/>
        </w:rPr>
        <w:t xml:space="preserve">erritoriale de </w:t>
      </w:r>
      <w:r w:rsidR="00DF6EA5" w:rsidRPr="009C5CF9">
        <w:rPr>
          <w:rFonts w:ascii="Century Gothic" w:hAnsi="Century Gothic" w:cs="Tahoma"/>
          <w:b/>
        </w:rPr>
        <w:t>la Manche</w:t>
      </w:r>
      <w:r w:rsidR="005858EC" w:rsidRPr="009C5CF9">
        <w:rPr>
          <w:rFonts w:ascii="Century Gothic" w:hAnsi="Century Gothic" w:cs="Tahoma"/>
          <w:b/>
        </w:rPr>
        <w:t xml:space="preserve"> (CDG </w:t>
      </w:r>
      <w:r w:rsidR="00DF6EA5" w:rsidRPr="009C5CF9">
        <w:rPr>
          <w:rFonts w:ascii="Century Gothic" w:hAnsi="Century Gothic" w:cs="Tahoma"/>
          <w:b/>
        </w:rPr>
        <w:t>50</w:t>
      </w:r>
      <w:r w:rsidR="005858EC" w:rsidRPr="009C5CF9">
        <w:rPr>
          <w:rFonts w:ascii="Century Gothic" w:hAnsi="Century Gothic" w:cs="Tahoma"/>
          <w:b/>
        </w:rPr>
        <w:t>)</w:t>
      </w:r>
    </w:p>
    <w:p w14:paraId="5D851FE1" w14:textId="77A87E8C" w:rsidR="005858EC" w:rsidRPr="009C5CF9" w:rsidRDefault="005858EC" w:rsidP="003E6C68">
      <w:pPr>
        <w:autoSpaceDE w:val="0"/>
        <w:autoSpaceDN w:val="0"/>
        <w:adjustRightInd w:val="0"/>
        <w:spacing w:before="120" w:after="0" w:line="240" w:lineRule="auto"/>
        <w:jc w:val="both"/>
        <w:rPr>
          <w:rFonts w:ascii="Century Gothic" w:hAnsi="Century Gothic" w:cs="Tahoma"/>
        </w:rPr>
      </w:pPr>
      <w:r w:rsidRPr="009C5CF9">
        <w:rPr>
          <w:rFonts w:ascii="Century Gothic" w:hAnsi="Century Gothic" w:cs="Tahoma"/>
        </w:rPr>
        <w:t xml:space="preserve">Représenté par son Président </w:t>
      </w:r>
      <w:r w:rsidR="003504A7" w:rsidRPr="009C5CF9">
        <w:rPr>
          <w:rFonts w:ascii="Century Gothic" w:hAnsi="Century Gothic" w:cs="Tahoma"/>
        </w:rPr>
        <w:t xml:space="preserve">M. </w:t>
      </w:r>
      <w:r w:rsidR="00DF6EA5" w:rsidRPr="009C5CF9">
        <w:rPr>
          <w:rFonts w:ascii="Century Gothic" w:hAnsi="Century Gothic" w:cs="Tahoma"/>
        </w:rPr>
        <w:t>Jean-Dominique BOURDIN</w:t>
      </w:r>
    </w:p>
    <w:p w14:paraId="5724F312" w14:textId="32EA9C93" w:rsidR="005858EC" w:rsidRPr="009C5CF9" w:rsidRDefault="005858EC" w:rsidP="003E6C68">
      <w:pPr>
        <w:autoSpaceDE w:val="0"/>
        <w:autoSpaceDN w:val="0"/>
        <w:adjustRightInd w:val="0"/>
        <w:spacing w:before="120" w:after="0" w:line="240" w:lineRule="auto"/>
        <w:jc w:val="both"/>
        <w:rPr>
          <w:rFonts w:ascii="Century Gothic" w:hAnsi="Century Gothic" w:cs="Tahoma"/>
        </w:rPr>
      </w:pPr>
      <w:r w:rsidRPr="009C5CF9">
        <w:rPr>
          <w:rFonts w:ascii="Century Gothic" w:hAnsi="Century Gothic" w:cs="Tahoma"/>
        </w:rPr>
        <w:t>D</w:t>
      </w:r>
      <w:r w:rsidR="00DF6EA5" w:rsidRPr="009C5CF9">
        <w:rPr>
          <w:rFonts w:ascii="Century Gothic" w:hAnsi="Century Gothic" w:cs="Tahoma"/>
        </w:rPr>
        <w:t>û</w:t>
      </w:r>
      <w:r w:rsidRPr="009C5CF9">
        <w:rPr>
          <w:rFonts w:ascii="Century Gothic" w:hAnsi="Century Gothic" w:cs="Tahoma"/>
        </w:rPr>
        <w:t xml:space="preserve">ment habilité par délibération du conseil d’administration </w:t>
      </w:r>
      <w:r w:rsidR="00DA4EDF" w:rsidRPr="009C5CF9">
        <w:rPr>
          <w:rFonts w:ascii="Century Gothic" w:hAnsi="Century Gothic" w:cs="Tahoma"/>
        </w:rPr>
        <w:t>n° </w:t>
      </w:r>
      <w:r w:rsidR="004B680E" w:rsidRPr="009C5CF9">
        <w:rPr>
          <w:rFonts w:ascii="Century Gothic" w:hAnsi="Century Gothic" w:cs="Tahoma"/>
        </w:rPr>
        <w:t>202</w:t>
      </w:r>
      <w:r w:rsidR="009C5CF9" w:rsidRPr="009C5CF9">
        <w:rPr>
          <w:rFonts w:ascii="Century Gothic" w:hAnsi="Century Gothic" w:cs="Tahoma"/>
        </w:rPr>
        <w:t>3</w:t>
      </w:r>
      <w:r w:rsidR="004B680E" w:rsidRPr="009C5CF9">
        <w:rPr>
          <w:rFonts w:ascii="Century Gothic" w:hAnsi="Century Gothic" w:cs="Tahoma"/>
        </w:rPr>
        <w:t>-</w:t>
      </w:r>
      <w:r w:rsidR="0078496F">
        <w:rPr>
          <w:rFonts w:ascii="Century Gothic" w:hAnsi="Century Gothic" w:cs="Tahoma"/>
        </w:rPr>
        <w:t>26</w:t>
      </w:r>
      <w:r w:rsidR="00DA4EDF" w:rsidRPr="009C5CF9">
        <w:rPr>
          <w:rFonts w:ascii="Century Gothic" w:hAnsi="Century Gothic" w:cs="Tahoma"/>
        </w:rPr>
        <w:t xml:space="preserve"> </w:t>
      </w:r>
      <w:r w:rsidRPr="009C5CF9">
        <w:rPr>
          <w:rFonts w:ascii="Century Gothic" w:hAnsi="Century Gothic" w:cs="Tahoma"/>
        </w:rPr>
        <w:t xml:space="preserve">du </w:t>
      </w:r>
      <w:r w:rsidR="009C5CF9" w:rsidRPr="009C5CF9">
        <w:rPr>
          <w:rFonts w:ascii="Century Gothic" w:hAnsi="Century Gothic" w:cs="Tahoma"/>
        </w:rPr>
        <w:t>23 mai 2023</w:t>
      </w:r>
    </w:p>
    <w:p w14:paraId="430F1294" w14:textId="77777777" w:rsidR="00DA4EDF" w:rsidRPr="009C5CF9" w:rsidRDefault="00DA4EDF" w:rsidP="003E6C68">
      <w:pPr>
        <w:autoSpaceDE w:val="0"/>
        <w:autoSpaceDN w:val="0"/>
        <w:adjustRightInd w:val="0"/>
        <w:spacing w:before="120" w:after="0" w:line="240" w:lineRule="auto"/>
        <w:jc w:val="both"/>
        <w:rPr>
          <w:rFonts w:ascii="Century Gothic" w:hAnsi="Century Gothic" w:cs="Tahoma"/>
        </w:rPr>
      </w:pPr>
    </w:p>
    <w:p w14:paraId="5520BF5E" w14:textId="33F4B802" w:rsidR="00A6242F" w:rsidRPr="009C5CF9" w:rsidRDefault="00A6242F" w:rsidP="00707127">
      <w:pPr>
        <w:autoSpaceDE w:val="0"/>
        <w:autoSpaceDN w:val="0"/>
        <w:adjustRightInd w:val="0"/>
        <w:spacing w:before="120" w:after="0" w:line="240" w:lineRule="auto"/>
        <w:ind w:left="284" w:hanging="284"/>
        <w:jc w:val="both"/>
        <w:rPr>
          <w:rFonts w:ascii="Century Gothic" w:hAnsi="Century Gothic" w:cs="Tahoma"/>
        </w:rPr>
      </w:pPr>
      <w:r w:rsidRPr="009C5CF9">
        <w:rPr>
          <w:rFonts w:ascii="Century Gothic" w:hAnsi="Century Gothic" w:cs="Tahoma"/>
        </w:rPr>
        <w:t>Vu le code général de la fonction publique</w:t>
      </w:r>
      <w:r w:rsidR="00ED7D19" w:rsidRPr="009C5CF9">
        <w:rPr>
          <w:rFonts w:ascii="Century Gothic" w:hAnsi="Century Gothic" w:cs="Tahoma"/>
        </w:rPr>
        <w:t xml:space="preserve"> et notamment ses articles L. 452-30 et L.</w:t>
      </w:r>
      <w:r w:rsidR="009C5CF9">
        <w:rPr>
          <w:rFonts w:ascii="Century Gothic" w:hAnsi="Century Gothic" w:cs="Tahoma"/>
        </w:rPr>
        <w:t> </w:t>
      </w:r>
      <w:r w:rsidR="00ED7D19" w:rsidRPr="009C5CF9">
        <w:rPr>
          <w:rFonts w:ascii="Century Gothic" w:hAnsi="Century Gothic" w:cs="Tahoma"/>
        </w:rPr>
        <w:t>452-40</w:t>
      </w:r>
      <w:r w:rsidR="009C5CF9">
        <w:rPr>
          <w:rFonts w:ascii="Century Gothic" w:hAnsi="Century Gothic" w:cs="Tahoma"/>
        </w:rPr>
        <w:t> ;</w:t>
      </w:r>
    </w:p>
    <w:p w14:paraId="34488505" w14:textId="7852042D" w:rsidR="005E3B0A" w:rsidRPr="009C5CF9" w:rsidRDefault="005E3B0A" w:rsidP="00707127">
      <w:pPr>
        <w:autoSpaceDE w:val="0"/>
        <w:autoSpaceDN w:val="0"/>
        <w:adjustRightInd w:val="0"/>
        <w:spacing w:before="120" w:after="0" w:line="240" w:lineRule="auto"/>
        <w:ind w:left="284" w:hanging="284"/>
        <w:jc w:val="both"/>
        <w:rPr>
          <w:rFonts w:ascii="Century Gothic" w:hAnsi="Century Gothic" w:cs="Tahoma"/>
        </w:rPr>
      </w:pPr>
      <w:r w:rsidRPr="009C5CF9">
        <w:rPr>
          <w:rFonts w:ascii="Century Gothic" w:hAnsi="Century Gothic" w:cs="Tahoma"/>
        </w:rPr>
        <w:t xml:space="preserve">Vu le code </w:t>
      </w:r>
      <w:r w:rsidR="00ED7D19" w:rsidRPr="009C5CF9">
        <w:rPr>
          <w:rFonts w:ascii="Century Gothic" w:hAnsi="Century Gothic" w:cs="Tahoma"/>
        </w:rPr>
        <w:t>général des collectivités territoriales</w:t>
      </w:r>
      <w:r w:rsidR="00707127" w:rsidRPr="009C5CF9">
        <w:rPr>
          <w:rFonts w:ascii="Century Gothic" w:hAnsi="Century Gothic" w:cs="Tahoma"/>
        </w:rPr>
        <w:t xml:space="preserve"> et notamment ses articles L.</w:t>
      </w:r>
      <w:r w:rsidR="00DF6EA5" w:rsidRPr="009C5CF9">
        <w:rPr>
          <w:rFonts w:ascii="Century Gothic" w:hAnsi="Century Gothic" w:cs="Tahoma"/>
        </w:rPr>
        <w:t xml:space="preserve"> </w:t>
      </w:r>
      <w:r w:rsidR="00ED7D19" w:rsidRPr="009C5CF9">
        <w:rPr>
          <w:rFonts w:ascii="Century Gothic" w:hAnsi="Century Gothic" w:cs="Tahoma"/>
        </w:rPr>
        <w:t>1111-1-1 et R. 1111-1-A à R. 1111-1-D</w:t>
      </w:r>
      <w:r w:rsidR="009C5CF9">
        <w:rPr>
          <w:rFonts w:ascii="Century Gothic" w:hAnsi="Century Gothic" w:cs="Tahoma"/>
        </w:rPr>
        <w:t> ;</w:t>
      </w:r>
    </w:p>
    <w:p w14:paraId="2A058990" w14:textId="1C6205BC" w:rsidR="005E3B0A" w:rsidRPr="009C5CF9" w:rsidRDefault="005E3B0A" w:rsidP="00ED7D19">
      <w:pPr>
        <w:autoSpaceDE w:val="0"/>
        <w:autoSpaceDN w:val="0"/>
        <w:adjustRightInd w:val="0"/>
        <w:spacing w:before="120" w:after="0" w:line="240" w:lineRule="auto"/>
        <w:ind w:left="284" w:hanging="284"/>
        <w:jc w:val="both"/>
        <w:rPr>
          <w:rFonts w:ascii="Century Gothic" w:hAnsi="Century Gothic" w:cs="Tahoma"/>
        </w:rPr>
      </w:pPr>
      <w:r w:rsidRPr="009C5CF9">
        <w:rPr>
          <w:rFonts w:ascii="Century Gothic" w:hAnsi="Century Gothic" w:cs="Tahoma"/>
        </w:rPr>
        <w:t xml:space="preserve">Vu </w:t>
      </w:r>
      <w:r w:rsidR="00ED7D19" w:rsidRPr="009C5CF9">
        <w:rPr>
          <w:rFonts w:ascii="Century Gothic" w:hAnsi="Century Gothic" w:cs="Tahoma"/>
        </w:rPr>
        <w:t>l’arrêté du 6 décembre 2022 pris en application du décret n° 2022-1520 du 6</w:t>
      </w:r>
      <w:r w:rsidR="009C5CF9">
        <w:rPr>
          <w:rFonts w:ascii="Century Gothic" w:hAnsi="Century Gothic" w:cs="Tahoma"/>
        </w:rPr>
        <w:t> </w:t>
      </w:r>
      <w:r w:rsidR="00ED7D19" w:rsidRPr="009C5CF9">
        <w:rPr>
          <w:rFonts w:ascii="Century Gothic" w:hAnsi="Century Gothic" w:cs="Tahoma"/>
        </w:rPr>
        <w:t>décembre 2022 relatif au référent déontologue de l’élu local</w:t>
      </w:r>
      <w:r w:rsidR="009C5CF9">
        <w:rPr>
          <w:rFonts w:ascii="Century Gothic" w:hAnsi="Century Gothic" w:cs="Tahoma"/>
        </w:rPr>
        <w:t> ;</w:t>
      </w:r>
    </w:p>
    <w:p w14:paraId="5EB6AD38" w14:textId="1DAD7C07" w:rsidR="005E3B0A" w:rsidRPr="009C5CF9" w:rsidRDefault="005E3B0A" w:rsidP="00707127">
      <w:pPr>
        <w:autoSpaceDE w:val="0"/>
        <w:autoSpaceDN w:val="0"/>
        <w:adjustRightInd w:val="0"/>
        <w:spacing w:before="120" w:after="0" w:line="240" w:lineRule="auto"/>
        <w:ind w:left="284" w:hanging="284"/>
        <w:jc w:val="both"/>
        <w:rPr>
          <w:rFonts w:ascii="Century Gothic" w:hAnsi="Century Gothic" w:cs="Tahoma"/>
        </w:rPr>
      </w:pPr>
      <w:r w:rsidRPr="009C5CF9">
        <w:rPr>
          <w:rFonts w:ascii="Century Gothic" w:hAnsi="Century Gothic" w:cs="Tahoma"/>
        </w:rPr>
        <w:t xml:space="preserve">Vu </w:t>
      </w:r>
      <w:r w:rsidR="00C82A76" w:rsidRPr="009C5CF9">
        <w:rPr>
          <w:rFonts w:ascii="Century Gothic" w:hAnsi="Century Gothic" w:cs="Tahoma"/>
        </w:rPr>
        <w:t>la</w:t>
      </w:r>
      <w:r w:rsidRPr="009C5CF9">
        <w:rPr>
          <w:rFonts w:ascii="Century Gothic" w:hAnsi="Century Gothic" w:cs="Tahoma"/>
        </w:rPr>
        <w:t xml:space="preserve"> délibération</w:t>
      </w:r>
      <w:r w:rsidR="00C82A76" w:rsidRPr="009C5CF9">
        <w:rPr>
          <w:rFonts w:ascii="Century Gothic" w:hAnsi="Century Gothic" w:cs="Tahoma"/>
        </w:rPr>
        <w:t xml:space="preserve"> du </w:t>
      </w:r>
      <w:r w:rsidR="00ED7D19" w:rsidRPr="009C5CF9">
        <w:rPr>
          <w:rFonts w:ascii="Century Gothic" w:hAnsi="Century Gothic" w:cs="Tahoma"/>
        </w:rPr>
        <w:t>Centre de Gestion de la Manche</w:t>
      </w:r>
      <w:r w:rsidRPr="009C5CF9">
        <w:rPr>
          <w:rFonts w:ascii="Century Gothic" w:hAnsi="Century Gothic" w:cs="Tahoma"/>
        </w:rPr>
        <w:t xml:space="preserve"> </w:t>
      </w:r>
      <w:r w:rsidR="00C82A76" w:rsidRPr="009C5CF9">
        <w:rPr>
          <w:rFonts w:ascii="Century Gothic" w:hAnsi="Century Gothic" w:cs="Tahoma"/>
        </w:rPr>
        <w:t>n°</w:t>
      </w:r>
      <w:r w:rsidR="00DF6EA5" w:rsidRPr="009C5CF9">
        <w:rPr>
          <w:rFonts w:ascii="Century Gothic" w:hAnsi="Century Gothic" w:cs="Tahoma"/>
        </w:rPr>
        <w:t xml:space="preserve"> </w:t>
      </w:r>
      <w:r w:rsidR="004B680E" w:rsidRPr="009C5CF9">
        <w:rPr>
          <w:rFonts w:ascii="Century Gothic" w:hAnsi="Century Gothic" w:cs="Tahoma"/>
        </w:rPr>
        <w:t>202</w:t>
      </w:r>
      <w:r w:rsidR="00ED7D19" w:rsidRPr="009C5CF9">
        <w:rPr>
          <w:rFonts w:ascii="Century Gothic" w:hAnsi="Century Gothic" w:cs="Tahoma"/>
        </w:rPr>
        <w:t>3</w:t>
      </w:r>
      <w:r w:rsidR="004B680E" w:rsidRPr="009C5CF9">
        <w:rPr>
          <w:rFonts w:ascii="Century Gothic" w:hAnsi="Century Gothic" w:cs="Tahoma"/>
        </w:rPr>
        <w:t>-</w:t>
      </w:r>
      <w:r w:rsidR="0078496F">
        <w:rPr>
          <w:rFonts w:ascii="Century Gothic" w:hAnsi="Century Gothic" w:cs="Tahoma"/>
        </w:rPr>
        <w:t>26</w:t>
      </w:r>
      <w:r w:rsidR="00C82A76" w:rsidRPr="009C5CF9">
        <w:rPr>
          <w:rFonts w:ascii="Century Gothic" w:hAnsi="Century Gothic" w:cs="Tahoma"/>
        </w:rPr>
        <w:t xml:space="preserve"> datée </w:t>
      </w:r>
      <w:r w:rsidRPr="009C5CF9">
        <w:rPr>
          <w:rFonts w:ascii="Century Gothic" w:hAnsi="Century Gothic" w:cs="Tahoma"/>
        </w:rPr>
        <w:t>du</w:t>
      </w:r>
      <w:r w:rsidR="00C82A76" w:rsidRPr="009C5CF9">
        <w:rPr>
          <w:rFonts w:ascii="Century Gothic" w:hAnsi="Century Gothic" w:cs="Tahoma"/>
        </w:rPr>
        <w:t xml:space="preserve"> </w:t>
      </w:r>
      <w:r w:rsidR="00ED7D19" w:rsidRPr="009C5CF9">
        <w:rPr>
          <w:rFonts w:ascii="Century Gothic" w:hAnsi="Century Gothic" w:cs="Tahoma"/>
        </w:rPr>
        <w:t>23 mai 2023</w:t>
      </w:r>
      <w:r w:rsidRPr="009C5CF9">
        <w:rPr>
          <w:rFonts w:ascii="Century Gothic" w:hAnsi="Century Gothic" w:cs="Tahoma"/>
        </w:rPr>
        <w:t xml:space="preserve"> autorisant le </w:t>
      </w:r>
      <w:r w:rsidR="005E596E" w:rsidRPr="009C5CF9">
        <w:rPr>
          <w:rFonts w:ascii="Century Gothic" w:hAnsi="Century Gothic" w:cs="Tahoma"/>
        </w:rPr>
        <w:t>P</w:t>
      </w:r>
      <w:r w:rsidRPr="009C5CF9">
        <w:rPr>
          <w:rFonts w:ascii="Century Gothic" w:hAnsi="Century Gothic" w:cs="Tahoma"/>
        </w:rPr>
        <w:t>résident du</w:t>
      </w:r>
      <w:r w:rsidR="00B66B11" w:rsidRPr="009C5CF9">
        <w:rPr>
          <w:rFonts w:ascii="Century Gothic" w:hAnsi="Century Gothic" w:cs="Tahoma"/>
        </w:rPr>
        <w:t xml:space="preserve"> </w:t>
      </w:r>
      <w:r w:rsidR="00ED7D19" w:rsidRPr="009C5CF9">
        <w:rPr>
          <w:rFonts w:ascii="Century Gothic" w:hAnsi="Century Gothic" w:cs="Tahoma"/>
        </w:rPr>
        <w:t>C</w:t>
      </w:r>
      <w:r w:rsidRPr="009C5CF9">
        <w:rPr>
          <w:rFonts w:ascii="Century Gothic" w:hAnsi="Century Gothic" w:cs="Tahoma"/>
        </w:rPr>
        <w:t xml:space="preserve">entre de </w:t>
      </w:r>
      <w:r w:rsidR="00ED7D19" w:rsidRPr="009C5CF9">
        <w:rPr>
          <w:rFonts w:ascii="Century Gothic" w:hAnsi="Century Gothic" w:cs="Tahoma"/>
        </w:rPr>
        <w:t>G</w:t>
      </w:r>
      <w:r w:rsidRPr="009C5CF9">
        <w:rPr>
          <w:rFonts w:ascii="Century Gothic" w:hAnsi="Century Gothic" w:cs="Tahoma"/>
        </w:rPr>
        <w:t>estion à signer la présente convention</w:t>
      </w:r>
      <w:r w:rsidR="009C5CF9">
        <w:rPr>
          <w:rFonts w:ascii="Century Gothic" w:hAnsi="Century Gothic" w:cs="Tahoma"/>
        </w:rPr>
        <w:t> ;</w:t>
      </w:r>
    </w:p>
    <w:p w14:paraId="21201670" w14:textId="15BBBDDB" w:rsidR="000466D7" w:rsidRDefault="005E3B0A" w:rsidP="00707127">
      <w:pPr>
        <w:autoSpaceDE w:val="0"/>
        <w:autoSpaceDN w:val="0"/>
        <w:adjustRightInd w:val="0"/>
        <w:spacing w:before="120" w:after="0" w:line="240" w:lineRule="auto"/>
        <w:jc w:val="both"/>
        <w:rPr>
          <w:rFonts w:ascii="Century Gothic" w:hAnsi="Century Gothic" w:cs="Tahoma"/>
        </w:rPr>
      </w:pPr>
      <w:r w:rsidRPr="009C5CF9">
        <w:rPr>
          <w:rFonts w:ascii="Century Gothic" w:hAnsi="Century Gothic" w:cs="Tahoma"/>
        </w:rPr>
        <w:t xml:space="preserve">Vu la délibération du </w:t>
      </w:r>
      <w:r w:rsidR="005E596E" w:rsidRPr="009C5CF9">
        <w:rPr>
          <w:rFonts w:ascii="Century Gothic" w:hAnsi="Century Gothic" w:cs="Tahoma"/>
        </w:rPr>
        <w:t>……</w:t>
      </w:r>
      <w:proofErr w:type="gramStart"/>
      <w:r w:rsidR="005E596E" w:rsidRPr="009C5CF9">
        <w:rPr>
          <w:rFonts w:ascii="Century Gothic" w:hAnsi="Century Gothic" w:cs="Tahoma"/>
        </w:rPr>
        <w:t>…….</w:t>
      </w:r>
      <w:proofErr w:type="gramEnd"/>
      <w:r w:rsidR="005E596E" w:rsidRPr="009C5CF9">
        <w:rPr>
          <w:rFonts w:ascii="Century Gothic" w:hAnsi="Century Gothic" w:cs="Tahoma"/>
        </w:rPr>
        <w:t xml:space="preserve">. </w:t>
      </w:r>
      <w:proofErr w:type="gramStart"/>
      <w:r w:rsidRPr="009C5CF9">
        <w:rPr>
          <w:rFonts w:ascii="Century Gothic" w:hAnsi="Century Gothic" w:cs="Tahoma"/>
        </w:rPr>
        <w:t>autorisant</w:t>
      </w:r>
      <w:proofErr w:type="gramEnd"/>
      <w:r w:rsidRPr="009C5CF9">
        <w:rPr>
          <w:rFonts w:ascii="Century Gothic" w:hAnsi="Century Gothic" w:cs="Tahoma"/>
        </w:rPr>
        <w:t xml:space="preserve"> l</w:t>
      </w:r>
      <w:r w:rsidR="00ED7D19" w:rsidRPr="009C5CF9">
        <w:rPr>
          <w:rFonts w:ascii="Century Gothic" w:hAnsi="Century Gothic" w:cs="Tahoma"/>
        </w:rPr>
        <w:t>a/l</w:t>
      </w:r>
      <w:r w:rsidRPr="009C5CF9">
        <w:rPr>
          <w:rFonts w:ascii="Century Gothic" w:hAnsi="Century Gothic" w:cs="Tahoma"/>
        </w:rPr>
        <w:t xml:space="preserve">e </w:t>
      </w:r>
      <w:r w:rsidR="00D02AC4" w:rsidRPr="009C5CF9">
        <w:rPr>
          <w:rFonts w:ascii="Century Gothic" w:hAnsi="Century Gothic" w:cs="Tahoma"/>
        </w:rPr>
        <w:t>M</w:t>
      </w:r>
      <w:r w:rsidRPr="009C5CF9">
        <w:rPr>
          <w:rFonts w:ascii="Century Gothic" w:hAnsi="Century Gothic" w:cs="Tahoma"/>
        </w:rPr>
        <w:t>aire ou l</w:t>
      </w:r>
      <w:r w:rsidR="00ED7D19" w:rsidRPr="009C5CF9">
        <w:rPr>
          <w:rFonts w:ascii="Century Gothic" w:hAnsi="Century Gothic" w:cs="Tahoma"/>
        </w:rPr>
        <w:t>a/l</w:t>
      </w:r>
      <w:r w:rsidRPr="009C5CF9">
        <w:rPr>
          <w:rFonts w:ascii="Century Gothic" w:hAnsi="Century Gothic" w:cs="Tahoma"/>
        </w:rPr>
        <w:t xml:space="preserve">e </w:t>
      </w:r>
      <w:r w:rsidR="00D02AC4" w:rsidRPr="009C5CF9">
        <w:rPr>
          <w:rFonts w:ascii="Century Gothic" w:hAnsi="Century Gothic" w:cs="Tahoma"/>
        </w:rPr>
        <w:t>P</w:t>
      </w:r>
      <w:r w:rsidRPr="009C5CF9">
        <w:rPr>
          <w:rFonts w:ascii="Century Gothic" w:hAnsi="Century Gothic" w:cs="Tahoma"/>
        </w:rPr>
        <w:t>résident</w:t>
      </w:r>
      <w:r w:rsidR="00ED7D19" w:rsidRPr="009C5CF9">
        <w:rPr>
          <w:rFonts w:ascii="Century Gothic" w:hAnsi="Century Gothic" w:cs="Tahoma"/>
        </w:rPr>
        <w:t>(e)</w:t>
      </w:r>
      <w:r w:rsidRPr="009C5CF9">
        <w:rPr>
          <w:rFonts w:ascii="Century Gothic" w:hAnsi="Century Gothic" w:cs="Tahoma"/>
        </w:rPr>
        <w:t xml:space="preserve"> à signer la présente convention</w:t>
      </w:r>
      <w:r w:rsidR="009C5CF9">
        <w:rPr>
          <w:rFonts w:ascii="Century Gothic" w:hAnsi="Century Gothic" w:cs="Tahoma"/>
        </w:rPr>
        <w:t> ;</w:t>
      </w:r>
      <w:r w:rsidR="000466D7">
        <w:rPr>
          <w:rFonts w:ascii="Century Gothic" w:hAnsi="Century Gothic" w:cs="Tahoma"/>
        </w:rPr>
        <w:br w:type="page"/>
      </w:r>
    </w:p>
    <w:p w14:paraId="5E6F3D78" w14:textId="77777777" w:rsidR="005E3B0A" w:rsidRPr="000466D7" w:rsidRDefault="005E3B0A" w:rsidP="000466D7">
      <w:pPr>
        <w:autoSpaceDE w:val="0"/>
        <w:autoSpaceDN w:val="0"/>
        <w:adjustRightInd w:val="0"/>
        <w:spacing w:before="120" w:after="0" w:line="240" w:lineRule="auto"/>
        <w:jc w:val="both"/>
        <w:rPr>
          <w:rFonts w:ascii="Century Gothic" w:hAnsi="Century Gothic" w:cs="Tahoma"/>
        </w:rPr>
      </w:pPr>
    </w:p>
    <w:p w14:paraId="717550DE" w14:textId="77777777" w:rsidR="005E3B0A" w:rsidRPr="000466D7" w:rsidRDefault="00DA4EDF" w:rsidP="000466D7">
      <w:pPr>
        <w:spacing w:before="120" w:after="0" w:line="240" w:lineRule="auto"/>
        <w:jc w:val="both"/>
        <w:rPr>
          <w:rFonts w:ascii="Century Gothic" w:hAnsi="Century Gothic" w:cs="Tahoma"/>
          <w:b/>
        </w:rPr>
      </w:pPr>
      <w:r w:rsidRPr="000466D7">
        <w:rPr>
          <w:rFonts w:ascii="Century Gothic" w:hAnsi="Century Gothic" w:cs="Tahoma"/>
          <w:b/>
        </w:rPr>
        <w:t>Il est convenu ce qui suit :</w:t>
      </w:r>
    </w:p>
    <w:p w14:paraId="3CAC457E" w14:textId="2AD4FB02" w:rsidR="00782344" w:rsidRPr="000466D7" w:rsidRDefault="00782344" w:rsidP="000466D7">
      <w:pPr>
        <w:autoSpaceDE w:val="0"/>
        <w:autoSpaceDN w:val="0"/>
        <w:adjustRightInd w:val="0"/>
        <w:spacing w:before="120" w:after="0" w:line="240" w:lineRule="auto"/>
        <w:jc w:val="both"/>
        <w:rPr>
          <w:rFonts w:ascii="Century Gothic" w:hAnsi="Century Gothic" w:cs="Tahoma"/>
        </w:rPr>
      </w:pPr>
    </w:p>
    <w:p w14:paraId="37F2BB88" w14:textId="36754291" w:rsidR="00B17FF0" w:rsidRPr="000466D7" w:rsidRDefault="00B17FF0" w:rsidP="000466D7">
      <w:pPr>
        <w:autoSpaceDE w:val="0"/>
        <w:autoSpaceDN w:val="0"/>
        <w:adjustRightInd w:val="0"/>
        <w:spacing w:before="120" w:after="0" w:line="240" w:lineRule="auto"/>
        <w:jc w:val="both"/>
        <w:rPr>
          <w:rFonts w:ascii="Century Gothic" w:hAnsi="Century Gothic" w:cs="Tahoma"/>
          <w:b/>
        </w:rPr>
      </w:pPr>
      <w:r w:rsidRPr="000466D7">
        <w:rPr>
          <w:rFonts w:ascii="Century Gothic" w:hAnsi="Century Gothic" w:cs="Tahoma"/>
          <w:b/>
          <w:bCs/>
        </w:rPr>
        <w:t>Article 1</w:t>
      </w:r>
      <w:r w:rsidRPr="000466D7">
        <w:rPr>
          <w:rFonts w:ascii="Century Gothic" w:hAnsi="Century Gothic" w:cs="Tahoma"/>
          <w:b/>
          <w:bCs/>
          <w:vertAlign w:val="superscript"/>
        </w:rPr>
        <w:t>er</w:t>
      </w:r>
      <w:r w:rsidR="009C5CF9" w:rsidRPr="000466D7">
        <w:rPr>
          <w:rFonts w:ascii="Century Gothic" w:hAnsi="Century Gothic" w:cs="Tahoma"/>
          <w:b/>
          <w:bCs/>
        </w:rPr>
        <w:t> </w:t>
      </w:r>
      <w:r w:rsidRPr="000466D7">
        <w:rPr>
          <w:rFonts w:ascii="Century Gothic" w:hAnsi="Century Gothic" w:cs="Tahoma"/>
          <w:b/>
          <w:bCs/>
        </w:rPr>
        <w:t>:</w:t>
      </w:r>
      <w:r w:rsidRPr="000466D7">
        <w:rPr>
          <w:rFonts w:ascii="Century Gothic" w:hAnsi="Century Gothic" w:cs="Tahoma"/>
        </w:rPr>
        <w:t xml:space="preserve"> </w:t>
      </w:r>
      <w:r w:rsidR="00A45A29" w:rsidRPr="000466D7">
        <w:rPr>
          <w:rFonts w:ascii="Century Gothic" w:hAnsi="Century Gothic" w:cs="Tahoma"/>
          <w:b/>
        </w:rPr>
        <w:t>Missions du référent déontologue</w:t>
      </w:r>
    </w:p>
    <w:p w14:paraId="7CC906F7" w14:textId="6FF94A16" w:rsidR="00A45A29" w:rsidRPr="000466D7" w:rsidRDefault="00A45A29" w:rsidP="000466D7">
      <w:pPr>
        <w:autoSpaceDE w:val="0"/>
        <w:autoSpaceDN w:val="0"/>
        <w:adjustRightInd w:val="0"/>
        <w:spacing w:before="120" w:after="0" w:line="240" w:lineRule="auto"/>
        <w:jc w:val="both"/>
        <w:rPr>
          <w:rFonts w:ascii="Century Gothic" w:hAnsi="Century Gothic" w:cs="Tahoma"/>
        </w:rPr>
      </w:pPr>
      <w:r w:rsidRPr="000466D7">
        <w:rPr>
          <w:rFonts w:ascii="Century Gothic" w:hAnsi="Century Gothic" w:cs="Tahoma"/>
        </w:rPr>
        <w:t>Tout élu local de la collectivité (</w:t>
      </w:r>
      <w:r w:rsidR="009C5CF9" w:rsidRPr="000466D7">
        <w:rPr>
          <w:rFonts w:ascii="Century Gothic" w:hAnsi="Century Gothic" w:cs="Tahoma"/>
        </w:rPr>
        <w:t xml:space="preserve">ou </w:t>
      </w:r>
      <w:r w:rsidRPr="000466D7">
        <w:rPr>
          <w:rFonts w:ascii="Century Gothic" w:hAnsi="Century Gothic" w:cs="Tahoma"/>
        </w:rPr>
        <w:t xml:space="preserve">l’établissement) peut consulter le référent déontologue </w:t>
      </w:r>
      <w:r w:rsidR="009C5CF9" w:rsidRPr="000466D7">
        <w:rPr>
          <w:rFonts w:ascii="Century Gothic" w:hAnsi="Century Gothic" w:cs="Tahoma"/>
        </w:rPr>
        <w:t>mis à disposition par le</w:t>
      </w:r>
      <w:r w:rsidRPr="000466D7">
        <w:rPr>
          <w:rFonts w:ascii="Century Gothic" w:hAnsi="Century Gothic" w:cs="Tahoma"/>
        </w:rPr>
        <w:t xml:space="preserve"> Centre de Gestion qui est chargé de lui apporter tout conseil utile au respect des principes déontologiques suivants :</w:t>
      </w:r>
    </w:p>
    <w:p w14:paraId="471D220C" w14:textId="041D510A" w:rsidR="00A45A29" w:rsidRPr="000466D7" w:rsidRDefault="00A45A29" w:rsidP="000466D7">
      <w:pPr>
        <w:pStyle w:val="Paragraphedeliste"/>
        <w:numPr>
          <w:ilvl w:val="0"/>
          <w:numId w:val="9"/>
        </w:numPr>
        <w:autoSpaceDE w:val="0"/>
        <w:autoSpaceDN w:val="0"/>
        <w:adjustRightInd w:val="0"/>
        <w:spacing w:before="120" w:after="0" w:line="240" w:lineRule="auto"/>
        <w:jc w:val="both"/>
        <w:rPr>
          <w:rFonts w:ascii="Century Gothic" w:hAnsi="Century Gothic" w:cs="Tahoma"/>
        </w:rPr>
      </w:pPr>
      <w:r w:rsidRPr="000466D7">
        <w:rPr>
          <w:rFonts w:ascii="Century Gothic" w:hAnsi="Century Gothic" w:cs="Tahoma"/>
        </w:rPr>
        <w:t>L'élu local exerce ses fonctions avec impartialité, diligence, dignité, probité et intégrité.</w:t>
      </w:r>
    </w:p>
    <w:p w14:paraId="53A26393" w14:textId="24A7FDD2" w:rsidR="00A45A29" w:rsidRPr="000466D7" w:rsidRDefault="00A45A29" w:rsidP="000466D7">
      <w:pPr>
        <w:pStyle w:val="Paragraphedeliste"/>
        <w:numPr>
          <w:ilvl w:val="0"/>
          <w:numId w:val="9"/>
        </w:numPr>
        <w:autoSpaceDE w:val="0"/>
        <w:autoSpaceDN w:val="0"/>
        <w:adjustRightInd w:val="0"/>
        <w:spacing w:before="120" w:after="0" w:line="240" w:lineRule="auto"/>
        <w:jc w:val="both"/>
        <w:rPr>
          <w:rFonts w:ascii="Century Gothic" w:hAnsi="Century Gothic" w:cs="Tahoma"/>
        </w:rPr>
      </w:pPr>
      <w:r w:rsidRPr="000466D7">
        <w:rPr>
          <w:rFonts w:ascii="Century Gothic" w:hAnsi="Century Gothic" w:cs="Tahoma"/>
        </w:rPr>
        <w:t>Dans l'exercice de son mandat, l'élu local poursuit le seul intérêt général, à l'exclusion de tout</w:t>
      </w:r>
      <w:r w:rsidR="009C5CF9" w:rsidRPr="000466D7">
        <w:rPr>
          <w:rFonts w:ascii="Century Gothic" w:hAnsi="Century Gothic" w:cs="Tahoma"/>
        </w:rPr>
        <w:t xml:space="preserve"> </w:t>
      </w:r>
      <w:r w:rsidRPr="000466D7">
        <w:rPr>
          <w:rFonts w:ascii="Century Gothic" w:hAnsi="Century Gothic" w:cs="Tahoma"/>
        </w:rPr>
        <w:t>intérêt qui lui soit personnel, directement ou indirectement, ou de tout autre intérêt particulier.</w:t>
      </w:r>
    </w:p>
    <w:p w14:paraId="55722278" w14:textId="16F3342A" w:rsidR="00A45A29" w:rsidRPr="000466D7" w:rsidRDefault="00A45A29" w:rsidP="000466D7">
      <w:pPr>
        <w:pStyle w:val="Paragraphedeliste"/>
        <w:numPr>
          <w:ilvl w:val="0"/>
          <w:numId w:val="9"/>
        </w:numPr>
        <w:autoSpaceDE w:val="0"/>
        <w:autoSpaceDN w:val="0"/>
        <w:adjustRightInd w:val="0"/>
        <w:spacing w:before="120" w:after="0" w:line="240" w:lineRule="auto"/>
        <w:jc w:val="both"/>
        <w:rPr>
          <w:rFonts w:ascii="Century Gothic" w:hAnsi="Century Gothic" w:cs="Tahoma"/>
        </w:rPr>
      </w:pPr>
      <w:r w:rsidRPr="000466D7">
        <w:rPr>
          <w:rFonts w:ascii="Century Gothic" w:hAnsi="Century Gothic" w:cs="Tahoma"/>
        </w:rPr>
        <w:t>L'élu local veille à prévenir ou à faire cesser immédiatement tout conflit d'intérêts. Lorsque ses</w:t>
      </w:r>
      <w:r w:rsidR="009C5CF9" w:rsidRPr="000466D7">
        <w:rPr>
          <w:rFonts w:ascii="Century Gothic" w:hAnsi="Century Gothic" w:cs="Tahoma"/>
        </w:rPr>
        <w:t xml:space="preserve"> </w:t>
      </w:r>
      <w:r w:rsidRPr="000466D7">
        <w:rPr>
          <w:rFonts w:ascii="Century Gothic" w:hAnsi="Century Gothic" w:cs="Tahoma"/>
        </w:rPr>
        <w:t>intérêts personnels sont en cause dans les affaires soumises à l'organe délibérant dont il est</w:t>
      </w:r>
      <w:r w:rsidR="009C5CF9" w:rsidRPr="000466D7">
        <w:rPr>
          <w:rFonts w:ascii="Century Gothic" w:hAnsi="Century Gothic" w:cs="Tahoma"/>
        </w:rPr>
        <w:t xml:space="preserve"> </w:t>
      </w:r>
      <w:r w:rsidRPr="000466D7">
        <w:rPr>
          <w:rFonts w:ascii="Century Gothic" w:hAnsi="Century Gothic" w:cs="Tahoma"/>
        </w:rPr>
        <w:t>membre, l'élu local s'engage à les faire connaître avant le débat et le vote.</w:t>
      </w:r>
    </w:p>
    <w:p w14:paraId="42579378" w14:textId="5DA783E3" w:rsidR="00A45A29" w:rsidRPr="000466D7" w:rsidRDefault="00A45A29" w:rsidP="000466D7">
      <w:pPr>
        <w:pStyle w:val="Paragraphedeliste"/>
        <w:numPr>
          <w:ilvl w:val="0"/>
          <w:numId w:val="9"/>
        </w:numPr>
        <w:autoSpaceDE w:val="0"/>
        <w:autoSpaceDN w:val="0"/>
        <w:adjustRightInd w:val="0"/>
        <w:spacing w:before="120" w:after="0" w:line="240" w:lineRule="auto"/>
        <w:jc w:val="both"/>
        <w:rPr>
          <w:rFonts w:ascii="Century Gothic" w:hAnsi="Century Gothic" w:cs="Tahoma"/>
        </w:rPr>
      </w:pPr>
      <w:r w:rsidRPr="000466D7">
        <w:rPr>
          <w:rFonts w:ascii="Century Gothic" w:hAnsi="Century Gothic" w:cs="Tahoma"/>
        </w:rPr>
        <w:t>L'élu local s'engage à ne pas utiliser les ressources et les moyens mis à sa disposition pour</w:t>
      </w:r>
      <w:r w:rsidR="009C5CF9" w:rsidRPr="000466D7">
        <w:rPr>
          <w:rFonts w:ascii="Century Gothic" w:hAnsi="Century Gothic" w:cs="Tahoma"/>
        </w:rPr>
        <w:t xml:space="preserve"> </w:t>
      </w:r>
      <w:r w:rsidRPr="000466D7">
        <w:rPr>
          <w:rFonts w:ascii="Century Gothic" w:hAnsi="Century Gothic" w:cs="Tahoma"/>
        </w:rPr>
        <w:t>l'exercice de son mandat ou de ses fonctions à d'autres fins.</w:t>
      </w:r>
    </w:p>
    <w:p w14:paraId="72E22F62" w14:textId="6DAFEBC9" w:rsidR="00A45A29" w:rsidRPr="000466D7" w:rsidRDefault="00A45A29" w:rsidP="000466D7">
      <w:pPr>
        <w:pStyle w:val="Paragraphedeliste"/>
        <w:numPr>
          <w:ilvl w:val="0"/>
          <w:numId w:val="9"/>
        </w:numPr>
        <w:autoSpaceDE w:val="0"/>
        <w:autoSpaceDN w:val="0"/>
        <w:adjustRightInd w:val="0"/>
        <w:spacing w:before="120" w:after="0" w:line="240" w:lineRule="auto"/>
        <w:jc w:val="both"/>
        <w:rPr>
          <w:rFonts w:ascii="Century Gothic" w:hAnsi="Century Gothic" w:cs="Tahoma"/>
        </w:rPr>
      </w:pPr>
      <w:r w:rsidRPr="000466D7">
        <w:rPr>
          <w:rFonts w:ascii="Century Gothic" w:hAnsi="Century Gothic" w:cs="Tahoma"/>
        </w:rPr>
        <w:t>Dans l'exercice de ses fonctions, l'élu local s'abstient de prendre des mesures lui accordant un</w:t>
      </w:r>
      <w:r w:rsidR="000466D7" w:rsidRPr="000466D7">
        <w:rPr>
          <w:rFonts w:ascii="Century Gothic" w:hAnsi="Century Gothic" w:cs="Tahoma"/>
        </w:rPr>
        <w:t xml:space="preserve"> </w:t>
      </w:r>
      <w:r w:rsidRPr="000466D7">
        <w:rPr>
          <w:rFonts w:ascii="Century Gothic" w:hAnsi="Century Gothic" w:cs="Tahoma"/>
        </w:rPr>
        <w:t>avantage personnel ou professionnel futur après la cessation de son mandat et de ses fonctions.</w:t>
      </w:r>
    </w:p>
    <w:p w14:paraId="502DD9CA" w14:textId="2F833359" w:rsidR="00A45A29" w:rsidRPr="000466D7" w:rsidRDefault="00A45A29" w:rsidP="000466D7">
      <w:pPr>
        <w:pStyle w:val="Paragraphedeliste"/>
        <w:numPr>
          <w:ilvl w:val="0"/>
          <w:numId w:val="9"/>
        </w:numPr>
        <w:autoSpaceDE w:val="0"/>
        <w:autoSpaceDN w:val="0"/>
        <w:adjustRightInd w:val="0"/>
        <w:spacing w:before="120" w:after="0" w:line="240" w:lineRule="auto"/>
        <w:jc w:val="both"/>
        <w:rPr>
          <w:rFonts w:ascii="Century Gothic" w:hAnsi="Century Gothic" w:cs="Tahoma"/>
        </w:rPr>
      </w:pPr>
      <w:r w:rsidRPr="000466D7">
        <w:rPr>
          <w:rFonts w:ascii="Century Gothic" w:hAnsi="Century Gothic" w:cs="Tahoma"/>
        </w:rPr>
        <w:t>L'élu local participe avec assiduité aux réunions de l'organe délibérant et des instances au sein</w:t>
      </w:r>
      <w:r w:rsidR="000466D7" w:rsidRPr="000466D7">
        <w:rPr>
          <w:rFonts w:ascii="Century Gothic" w:hAnsi="Century Gothic" w:cs="Tahoma"/>
        </w:rPr>
        <w:t xml:space="preserve"> </w:t>
      </w:r>
      <w:r w:rsidRPr="000466D7">
        <w:rPr>
          <w:rFonts w:ascii="Century Gothic" w:hAnsi="Century Gothic" w:cs="Tahoma"/>
        </w:rPr>
        <w:t>desquelles il a été désigné.</w:t>
      </w:r>
    </w:p>
    <w:p w14:paraId="7D6A6D1B" w14:textId="60D2C52B" w:rsidR="00A45A29" w:rsidRPr="000466D7" w:rsidRDefault="00A45A29" w:rsidP="000466D7">
      <w:pPr>
        <w:pStyle w:val="Paragraphedeliste"/>
        <w:numPr>
          <w:ilvl w:val="0"/>
          <w:numId w:val="9"/>
        </w:numPr>
        <w:autoSpaceDE w:val="0"/>
        <w:autoSpaceDN w:val="0"/>
        <w:adjustRightInd w:val="0"/>
        <w:spacing w:before="120" w:after="0" w:line="240" w:lineRule="auto"/>
        <w:jc w:val="both"/>
        <w:rPr>
          <w:rFonts w:ascii="Century Gothic" w:hAnsi="Century Gothic" w:cs="Tahoma"/>
        </w:rPr>
      </w:pPr>
      <w:r w:rsidRPr="000466D7">
        <w:rPr>
          <w:rFonts w:ascii="Century Gothic" w:hAnsi="Century Gothic" w:cs="Tahoma"/>
        </w:rPr>
        <w:t>Issu du suffrage universel, l'élu local est et reste responsable de ses actes pour la durée de son</w:t>
      </w:r>
      <w:r w:rsidR="000466D7" w:rsidRPr="000466D7">
        <w:rPr>
          <w:rFonts w:ascii="Century Gothic" w:hAnsi="Century Gothic" w:cs="Tahoma"/>
        </w:rPr>
        <w:t xml:space="preserve"> </w:t>
      </w:r>
      <w:r w:rsidRPr="000466D7">
        <w:rPr>
          <w:rFonts w:ascii="Century Gothic" w:hAnsi="Century Gothic" w:cs="Tahoma"/>
        </w:rPr>
        <w:t>mandat devant l'ensemble des citoyens de la collectivité territoriale, à qui il rend compte des actes et décisions pris dans le cadre de ses fonctions.</w:t>
      </w:r>
    </w:p>
    <w:p w14:paraId="1A60128F" w14:textId="7334D28C" w:rsidR="00A45A29" w:rsidRPr="000466D7" w:rsidRDefault="00A45A29" w:rsidP="000466D7">
      <w:pPr>
        <w:autoSpaceDE w:val="0"/>
        <w:autoSpaceDN w:val="0"/>
        <w:adjustRightInd w:val="0"/>
        <w:spacing w:before="120" w:after="0" w:line="240" w:lineRule="auto"/>
        <w:jc w:val="both"/>
        <w:rPr>
          <w:rFonts w:ascii="Century Gothic" w:hAnsi="Century Gothic" w:cs="Tahoma"/>
        </w:rPr>
      </w:pPr>
      <w:r w:rsidRPr="000466D7">
        <w:rPr>
          <w:rFonts w:ascii="Century Gothic" w:hAnsi="Century Gothic" w:cs="Tahoma"/>
        </w:rPr>
        <w:t xml:space="preserve">Les avis rendus par le référent déontologue ne font pas grief et ne sont pas susceptibles de recours, ils n’ont pas de caractère obligatoire pour leurs destinataires et en sens inverse </w:t>
      </w:r>
      <w:r w:rsidR="000466D7" w:rsidRPr="000466D7">
        <w:rPr>
          <w:rFonts w:ascii="Century Gothic" w:hAnsi="Century Gothic" w:cs="Tahoma"/>
        </w:rPr>
        <w:t xml:space="preserve">ils </w:t>
      </w:r>
      <w:r w:rsidRPr="000466D7">
        <w:rPr>
          <w:rFonts w:ascii="Century Gothic" w:hAnsi="Century Gothic" w:cs="Tahoma"/>
        </w:rPr>
        <w:t>ne leur confèrent aucun droit.</w:t>
      </w:r>
    </w:p>
    <w:p w14:paraId="72DC4AB5" w14:textId="77777777" w:rsidR="00A45A29" w:rsidRPr="000466D7" w:rsidRDefault="00A45A29" w:rsidP="000466D7">
      <w:pPr>
        <w:autoSpaceDE w:val="0"/>
        <w:autoSpaceDN w:val="0"/>
        <w:adjustRightInd w:val="0"/>
        <w:spacing w:before="120" w:after="0" w:line="240" w:lineRule="auto"/>
        <w:jc w:val="both"/>
        <w:rPr>
          <w:rFonts w:ascii="Century Gothic" w:hAnsi="Century Gothic" w:cs="Tahoma"/>
        </w:rPr>
      </w:pPr>
    </w:p>
    <w:p w14:paraId="298CAC07" w14:textId="65612BF9" w:rsidR="00656720" w:rsidRPr="000466D7" w:rsidRDefault="002831CE" w:rsidP="000466D7">
      <w:pPr>
        <w:autoSpaceDE w:val="0"/>
        <w:autoSpaceDN w:val="0"/>
        <w:adjustRightInd w:val="0"/>
        <w:spacing w:before="120" w:after="0" w:line="240" w:lineRule="auto"/>
        <w:jc w:val="both"/>
        <w:rPr>
          <w:rFonts w:ascii="Century Gothic" w:hAnsi="Century Gothic" w:cs="Tahoma"/>
          <w:b/>
          <w:bCs/>
        </w:rPr>
      </w:pPr>
      <w:r w:rsidRPr="000466D7">
        <w:rPr>
          <w:rFonts w:ascii="Century Gothic" w:hAnsi="Century Gothic" w:cs="Tahoma"/>
          <w:b/>
          <w:bCs/>
        </w:rPr>
        <w:t xml:space="preserve">Article 2 : </w:t>
      </w:r>
      <w:r w:rsidR="00A45A29" w:rsidRPr="000466D7">
        <w:rPr>
          <w:rFonts w:ascii="Century Gothic" w:hAnsi="Century Gothic" w:cs="Tahoma"/>
          <w:b/>
          <w:bCs/>
        </w:rPr>
        <w:t>Modalités de fonctionnement du référent déontologue</w:t>
      </w:r>
    </w:p>
    <w:p w14:paraId="6163E3F1" w14:textId="2C8F6239" w:rsidR="00A45A29" w:rsidRPr="000466D7" w:rsidRDefault="00A45A29" w:rsidP="000466D7">
      <w:pPr>
        <w:autoSpaceDE w:val="0"/>
        <w:autoSpaceDN w:val="0"/>
        <w:adjustRightInd w:val="0"/>
        <w:spacing w:before="120" w:after="0" w:line="240" w:lineRule="auto"/>
        <w:jc w:val="both"/>
        <w:rPr>
          <w:rFonts w:ascii="Century Gothic" w:hAnsi="Century Gothic" w:cs="Tahoma"/>
        </w:rPr>
      </w:pPr>
      <w:r w:rsidRPr="000466D7">
        <w:rPr>
          <w:rFonts w:ascii="Century Gothic" w:hAnsi="Century Gothic" w:cs="Tahoma"/>
        </w:rPr>
        <w:t>Les missions de référent déontologue sont exercées par un collège de 4 membres, 3</w:t>
      </w:r>
      <w:r w:rsidR="000466D7" w:rsidRPr="000466D7">
        <w:rPr>
          <w:rFonts w:ascii="Century Gothic" w:hAnsi="Century Gothic" w:cs="Tahoma"/>
        </w:rPr>
        <w:t> </w:t>
      </w:r>
      <w:r w:rsidRPr="000466D7">
        <w:rPr>
          <w:rFonts w:ascii="Century Gothic" w:hAnsi="Century Gothic" w:cs="Tahoma"/>
        </w:rPr>
        <w:t>titulaires et 1</w:t>
      </w:r>
      <w:r w:rsidR="000466D7" w:rsidRPr="000466D7">
        <w:rPr>
          <w:rFonts w:ascii="Century Gothic" w:hAnsi="Century Gothic" w:cs="Tahoma"/>
        </w:rPr>
        <w:t xml:space="preserve"> </w:t>
      </w:r>
      <w:r w:rsidRPr="000466D7">
        <w:rPr>
          <w:rFonts w:ascii="Century Gothic" w:hAnsi="Century Gothic" w:cs="Tahoma"/>
        </w:rPr>
        <w:t xml:space="preserve">suppléant, désignés par le </w:t>
      </w:r>
      <w:r w:rsidR="000466D7" w:rsidRPr="000466D7">
        <w:rPr>
          <w:rFonts w:ascii="Century Gothic" w:hAnsi="Century Gothic" w:cs="Tahoma"/>
        </w:rPr>
        <w:t>P</w:t>
      </w:r>
      <w:r w:rsidRPr="000466D7">
        <w:rPr>
          <w:rFonts w:ascii="Century Gothic" w:hAnsi="Century Gothic" w:cs="Tahoma"/>
        </w:rPr>
        <w:t>résident du Centre de Gestion en raison de leur expérience et de leurs compétences.</w:t>
      </w:r>
    </w:p>
    <w:p w14:paraId="0ABF5E4D" w14:textId="13B7DF87" w:rsidR="00A45A29" w:rsidRPr="000466D7" w:rsidRDefault="00A45A29" w:rsidP="000466D7">
      <w:pPr>
        <w:autoSpaceDE w:val="0"/>
        <w:autoSpaceDN w:val="0"/>
        <w:adjustRightInd w:val="0"/>
        <w:spacing w:before="120" w:after="0" w:line="240" w:lineRule="auto"/>
        <w:jc w:val="both"/>
        <w:rPr>
          <w:rFonts w:ascii="Century Gothic" w:hAnsi="Century Gothic" w:cs="Tahoma"/>
        </w:rPr>
      </w:pPr>
      <w:r w:rsidRPr="000466D7">
        <w:rPr>
          <w:rFonts w:ascii="Century Gothic" w:hAnsi="Century Gothic" w:cs="Tahoma"/>
        </w:rPr>
        <w:t>L’organisation et le fonctionnement du collège sont précisés par un règlement intérieur.</w:t>
      </w:r>
    </w:p>
    <w:p w14:paraId="03F4C749" w14:textId="0CCF3307" w:rsidR="00A45A29" w:rsidRPr="000466D7" w:rsidRDefault="00A45A29" w:rsidP="000466D7">
      <w:pPr>
        <w:autoSpaceDE w:val="0"/>
        <w:autoSpaceDN w:val="0"/>
        <w:adjustRightInd w:val="0"/>
        <w:spacing w:before="120" w:after="0" w:line="240" w:lineRule="auto"/>
        <w:jc w:val="both"/>
        <w:rPr>
          <w:rFonts w:ascii="Century Gothic" w:hAnsi="Century Gothic" w:cs="Tahoma"/>
        </w:rPr>
      </w:pPr>
      <w:r w:rsidRPr="000466D7">
        <w:rPr>
          <w:rFonts w:ascii="Century Gothic" w:hAnsi="Century Gothic" w:cs="Tahoma"/>
        </w:rPr>
        <w:t>Le référent déontologue est assisté d’un secrétariat qui reçoit les saisines</w:t>
      </w:r>
      <w:r w:rsidR="000466D7" w:rsidRPr="000466D7">
        <w:rPr>
          <w:rFonts w:ascii="Century Gothic" w:hAnsi="Century Gothic" w:cs="Tahoma"/>
        </w:rPr>
        <w:t>, prépare les séances</w:t>
      </w:r>
      <w:r w:rsidRPr="000466D7">
        <w:rPr>
          <w:rFonts w:ascii="Century Gothic" w:hAnsi="Century Gothic" w:cs="Tahoma"/>
        </w:rPr>
        <w:t xml:space="preserve"> et notifie les avis.</w:t>
      </w:r>
    </w:p>
    <w:p w14:paraId="177DBFA8" w14:textId="6395E9B1" w:rsidR="000466D7" w:rsidRPr="000466D7" w:rsidRDefault="00A45A29" w:rsidP="000466D7">
      <w:pPr>
        <w:autoSpaceDE w:val="0"/>
        <w:autoSpaceDN w:val="0"/>
        <w:adjustRightInd w:val="0"/>
        <w:spacing w:before="120" w:after="0" w:line="240" w:lineRule="auto"/>
        <w:jc w:val="both"/>
        <w:rPr>
          <w:rFonts w:ascii="Century Gothic" w:hAnsi="Century Gothic" w:cs="Tahoma"/>
        </w:rPr>
      </w:pPr>
      <w:r w:rsidRPr="000466D7">
        <w:rPr>
          <w:rFonts w:ascii="Century Gothic" w:hAnsi="Century Gothic" w:cs="Tahoma"/>
        </w:rPr>
        <w:t xml:space="preserve">Les membres du collège </w:t>
      </w:r>
      <w:r w:rsidR="000466D7" w:rsidRPr="000466D7">
        <w:rPr>
          <w:rFonts w:ascii="Century Gothic" w:hAnsi="Century Gothic" w:cs="Tahoma"/>
        </w:rPr>
        <w:t xml:space="preserve">et le secrétariat </w:t>
      </w:r>
      <w:r w:rsidRPr="000466D7">
        <w:rPr>
          <w:rFonts w:ascii="Century Gothic" w:hAnsi="Century Gothic" w:cs="Tahoma"/>
        </w:rPr>
        <w:t>sont soumis à l’obligation de secret professionnel et font preuve de discrétion et assurent de manière indépendante et impartiale le traitement des saisines. Toutes les questions et réponses apportées, ainsi que les différents échanges avec les élus, sont confidentiels.</w:t>
      </w:r>
      <w:r w:rsidR="000466D7" w:rsidRPr="000466D7">
        <w:rPr>
          <w:rFonts w:ascii="Century Gothic" w:hAnsi="Century Gothic" w:cs="Tahoma"/>
        </w:rPr>
        <w:br w:type="page"/>
      </w:r>
    </w:p>
    <w:p w14:paraId="093319E6" w14:textId="77777777" w:rsidR="000466D7" w:rsidRPr="000466D7" w:rsidRDefault="000466D7" w:rsidP="000466D7">
      <w:pPr>
        <w:autoSpaceDE w:val="0"/>
        <w:autoSpaceDN w:val="0"/>
        <w:adjustRightInd w:val="0"/>
        <w:spacing w:before="120" w:after="0" w:line="240" w:lineRule="auto"/>
        <w:jc w:val="both"/>
        <w:rPr>
          <w:rFonts w:ascii="Century Gothic" w:hAnsi="Century Gothic" w:cs="Tahoma"/>
        </w:rPr>
      </w:pPr>
    </w:p>
    <w:p w14:paraId="02B41145" w14:textId="1481E418" w:rsidR="0086338B" w:rsidRPr="000466D7" w:rsidRDefault="0086338B" w:rsidP="000466D7">
      <w:pPr>
        <w:autoSpaceDE w:val="0"/>
        <w:autoSpaceDN w:val="0"/>
        <w:adjustRightInd w:val="0"/>
        <w:spacing w:before="120" w:after="0" w:line="240" w:lineRule="auto"/>
        <w:jc w:val="both"/>
        <w:rPr>
          <w:rFonts w:ascii="Century Gothic" w:hAnsi="Century Gothic" w:cs="Tahoma"/>
        </w:rPr>
      </w:pPr>
      <w:r w:rsidRPr="000466D7">
        <w:rPr>
          <w:rFonts w:ascii="Century Gothic" w:hAnsi="Century Gothic" w:cs="Tahoma"/>
          <w:b/>
          <w:bCs/>
        </w:rPr>
        <w:t>Article 3</w:t>
      </w:r>
      <w:r w:rsidR="00184BD6" w:rsidRPr="000466D7">
        <w:rPr>
          <w:rFonts w:ascii="Century Gothic" w:hAnsi="Century Gothic" w:cs="Tahoma"/>
          <w:b/>
          <w:bCs/>
        </w:rPr>
        <w:t> </w:t>
      </w:r>
      <w:r w:rsidRPr="000466D7">
        <w:rPr>
          <w:rFonts w:ascii="Century Gothic" w:hAnsi="Century Gothic" w:cs="Tahoma"/>
          <w:b/>
          <w:bCs/>
        </w:rPr>
        <w:t xml:space="preserve">: </w:t>
      </w:r>
      <w:r w:rsidR="00A45A29" w:rsidRPr="000466D7">
        <w:rPr>
          <w:rFonts w:ascii="Century Gothic" w:hAnsi="Century Gothic" w:cs="Tahoma"/>
          <w:b/>
          <w:bCs/>
        </w:rPr>
        <w:t>Saisine du référent déontologue</w:t>
      </w:r>
    </w:p>
    <w:p w14:paraId="55A89538" w14:textId="0F23B3A0" w:rsidR="00A45A29" w:rsidRPr="000466D7" w:rsidRDefault="00A45A29" w:rsidP="000466D7">
      <w:pPr>
        <w:autoSpaceDE w:val="0"/>
        <w:autoSpaceDN w:val="0"/>
        <w:adjustRightInd w:val="0"/>
        <w:spacing w:before="120" w:after="0" w:line="240" w:lineRule="auto"/>
        <w:jc w:val="both"/>
        <w:rPr>
          <w:rFonts w:ascii="Century Gothic" w:hAnsi="Century Gothic" w:cs="Tahoma"/>
        </w:rPr>
      </w:pPr>
      <w:r w:rsidRPr="000466D7">
        <w:rPr>
          <w:rFonts w:ascii="Century Gothic" w:hAnsi="Century Gothic" w:cs="Tahoma"/>
        </w:rPr>
        <w:t>L’élu(e) de la collectivité (</w:t>
      </w:r>
      <w:r w:rsidR="000466D7" w:rsidRPr="000466D7">
        <w:rPr>
          <w:rFonts w:ascii="Century Gothic" w:hAnsi="Century Gothic" w:cs="Tahoma"/>
        </w:rPr>
        <w:t xml:space="preserve">ou </w:t>
      </w:r>
      <w:r w:rsidRPr="000466D7">
        <w:rPr>
          <w:rFonts w:ascii="Century Gothic" w:hAnsi="Century Gothic" w:cs="Tahoma"/>
        </w:rPr>
        <w:t>l’établissement) pourra saisir le référent déontologue par le biais d’un formulaire mis à sa disposition.</w:t>
      </w:r>
    </w:p>
    <w:p w14:paraId="27F564EB" w14:textId="77777777" w:rsidR="00A62CA3" w:rsidRPr="000466D7" w:rsidRDefault="00A45A29" w:rsidP="000466D7">
      <w:pPr>
        <w:autoSpaceDE w:val="0"/>
        <w:autoSpaceDN w:val="0"/>
        <w:adjustRightInd w:val="0"/>
        <w:spacing w:before="120" w:after="0" w:line="240" w:lineRule="auto"/>
        <w:jc w:val="both"/>
        <w:rPr>
          <w:rFonts w:ascii="Century Gothic" w:hAnsi="Century Gothic" w:cs="Tahoma"/>
        </w:rPr>
      </w:pPr>
      <w:r w:rsidRPr="000466D7">
        <w:rPr>
          <w:rFonts w:ascii="Century Gothic" w:hAnsi="Century Gothic" w:cs="Tahoma"/>
        </w:rPr>
        <w:t xml:space="preserve">Le secrétariat du collège doit accuser réception de cette demande dans un délai maximum de </w:t>
      </w:r>
      <w:r w:rsidR="00A62CA3" w:rsidRPr="000466D7">
        <w:rPr>
          <w:rFonts w:ascii="Century Gothic" w:hAnsi="Century Gothic" w:cs="Tahoma"/>
        </w:rPr>
        <w:t>7 jours</w:t>
      </w:r>
      <w:r w:rsidRPr="000466D7">
        <w:rPr>
          <w:rFonts w:ascii="Century Gothic" w:hAnsi="Century Gothic" w:cs="Tahoma"/>
        </w:rPr>
        <w:t>.</w:t>
      </w:r>
    </w:p>
    <w:p w14:paraId="45BB9AC9" w14:textId="77777777" w:rsidR="005E596E" w:rsidRPr="000466D7" w:rsidRDefault="005E596E" w:rsidP="000466D7">
      <w:pPr>
        <w:autoSpaceDE w:val="0"/>
        <w:autoSpaceDN w:val="0"/>
        <w:adjustRightInd w:val="0"/>
        <w:spacing w:before="120" w:after="0" w:line="240" w:lineRule="auto"/>
        <w:jc w:val="both"/>
        <w:rPr>
          <w:rFonts w:ascii="Century Gothic" w:hAnsi="Century Gothic" w:cs="Tahoma"/>
        </w:rPr>
      </w:pPr>
    </w:p>
    <w:p w14:paraId="2429B681" w14:textId="3BA903B8" w:rsidR="00B17FF0" w:rsidRPr="000466D7" w:rsidRDefault="00B17FF0" w:rsidP="000466D7">
      <w:pPr>
        <w:autoSpaceDE w:val="0"/>
        <w:autoSpaceDN w:val="0"/>
        <w:adjustRightInd w:val="0"/>
        <w:spacing w:before="120" w:after="0" w:line="240" w:lineRule="auto"/>
        <w:jc w:val="both"/>
        <w:rPr>
          <w:rFonts w:ascii="Century Gothic" w:hAnsi="Century Gothic" w:cs="Tahoma"/>
        </w:rPr>
      </w:pPr>
      <w:r w:rsidRPr="000466D7">
        <w:rPr>
          <w:rFonts w:ascii="Century Gothic" w:hAnsi="Century Gothic" w:cs="Tahoma"/>
          <w:b/>
          <w:bCs/>
        </w:rPr>
        <w:t xml:space="preserve">Article </w:t>
      </w:r>
      <w:r w:rsidR="0086338B" w:rsidRPr="000466D7">
        <w:rPr>
          <w:rFonts w:ascii="Century Gothic" w:hAnsi="Century Gothic" w:cs="Tahoma"/>
          <w:b/>
          <w:bCs/>
        </w:rPr>
        <w:t>4</w:t>
      </w:r>
      <w:r w:rsidR="000466D7" w:rsidRPr="000466D7">
        <w:rPr>
          <w:rFonts w:ascii="Century Gothic" w:hAnsi="Century Gothic" w:cs="Tahoma"/>
          <w:b/>
          <w:bCs/>
        </w:rPr>
        <w:t> </w:t>
      </w:r>
      <w:r w:rsidR="005E3B0A" w:rsidRPr="000466D7">
        <w:rPr>
          <w:rFonts w:ascii="Century Gothic" w:hAnsi="Century Gothic" w:cs="Tahoma"/>
          <w:b/>
          <w:bCs/>
        </w:rPr>
        <w:t xml:space="preserve">: </w:t>
      </w:r>
      <w:r w:rsidR="00A62CA3" w:rsidRPr="000466D7">
        <w:rPr>
          <w:rFonts w:ascii="Century Gothic" w:hAnsi="Century Gothic" w:cs="Tahoma"/>
          <w:b/>
          <w:bCs/>
        </w:rPr>
        <w:t>Conditions financières</w:t>
      </w:r>
    </w:p>
    <w:p w14:paraId="4A0BB51C" w14:textId="72176BEB" w:rsidR="00A62CA3" w:rsidRPr="000466D7" w:rsidRDefault="00A62CA3" w:rsidP="000466D7">
      <w:pPr>
        <w:spacing w:before="120" w:after="0" w:line="240" w:lineRule="auto"/>
        <w:jc w:val="both"/>
        <w:rPr>
          <w:rFonts w:ascii="Century Gothic" w:hAnsi="Century Gothic" w:cs="Tahoma"/>
        </w:rPr>
      </w:pPr>
      <w:r w:rsidRPr="000466D7">
        <w:rPr>
          <w:rFonts w:ascii="Century Gothic" w:hAnsi="Century Gothic" w:cs="Tahoma"/>
        </w:rPr>
        <w:t>La collectivité (</w:t>
      </w:r>
      <w:r w:rsidR="000466D7">
        <w:rPr>
          <w:rFonts w:ascii="Century Gothic" w:hAnsi="Century Gothic" w:cs="Tahoma"/>
        </w:rPr>
        <w:t xml:space="preserve">ou </w:t>
      </w:r>
      <w:r w:rsidRPr="000466D7">
        <w:rPr>
          <w:rFonts w:ascii="Century Gothic" w:hAnsi="Century Gothic" w:cs="Tahoma"/>
        </w:rPr>
        <w:t xml:space="preserve">l’établissement) s’engage à verser au Centre de Gestion une contribution déterminée sur la base d’un </w:t>
      </w:r>
      <w:r w:rsidRPr="007B3D61">
        <w:rPr>
          <w:rFonts w:ascii="Century Gothic" w:hAnsi="Century Gothic" w:cs="Tahoma"/>
        </w:rPr>
        <w:t xml:space="preserve">tarif de </w:t>
      </w:r>
      <w:r w:rsidR="007B3D61" w:rsidRPr="007B3D61">
        <w:rPr>
          <w:rFonts w:ascii="Century Gothic" w:hAnsi="Century Gothic" w:cs="Tahoma"/>
        </w:rPr>
        <w:t>100</w:t>
      </w:r>
      <w:r w:rsidRPr="007B3D61">
        <w:rPr>
          <w:rFonts w:ascii="Century Gothic" w:hAnsi="Century Gothic" w:cs="Tahoma"/>
        </w:rPr>
        <w:t xml:space="preserve"> euros </w:t>
      </w:r>
      <w:r w:rsidRPr="000466D7">
        <w:rPr>
          <w:rFonts w:ascii="Century Gothic" w:hAnsi="Century Gothic" w:cs="Tahoma"/>
        </w:rPr>
        <w:t xml:space="preserve">par saisine traitée par le </w:t>
      </w:r>
      <w:r w:rsidR="000466D7">
        <w:rPr>
          <w:rFonts w:ascii="Century Gothic" w:hAnsi="Century Gothic" w:cs="Tahoma"/>
        </w:rPr>
        <w:t>référent déontologue</w:t>
      </w:r>
      <w:r w:rsidRPr="000466D7">
        <w:rPr>
          <w:rFonts w:ascii="Century Gothic" w:hAnsi="Century Gothic" w:cs="Tahoma"/>
        </w:rPr>
        <w:t>.</w:t>
      </w:r>
    </w:p>
    <w:p w14:paraId="3E2FCE6F" w14:textId="77777777" w:rsidR="00A62CA3" w:rsidRPr="000466D7" w:rsidRDefault="00A62CA3" w:rsidP="000466D7">
      <w:pPr>
        <w:spacing w:before="120" w:after="0" w:line="240" w:lineRule="auto"/>
        <w:jc w:val="both"/>
        <w:rPr>
          <w:rFonts w:ascii="Century Gothic" w:hAnsi="Century Gothic" w:cs="Tahoma"/>
        </w:rPr>
      </w:pPr>
      <w:r w:rsidRPr="000466D7">
        <w:rPr>
          <w:rFonts w:ascii="Century Gothic" w:hAnsi="Century Gothic" w:cs="Tahoma"/>
        </w:rPr>
        <w:t>Lorsque la saisine est jugée non recevable, aucune facturation n’est appliquée.</w:t>
      </w:r>
    </w:p>
    <w:p w14:paraId="176CFD7D" w14:textId="5751FFBD" w:rsidR="00192AB6" w:rsidRPr="000466D7" w:rsidRDefault="00A62CA3" w:rsidP="000466D7">
      <w:pPr>
        <w:spacing w:before="120" w:after="0" w:line="240" w:lineRule="auto"/>
        <w:jc w:val="both"/>
        <w:rPr>
          <w:rFonts w:ascii="Century Gothic" w:hAnsi="Century Gothic" w:cs="Tahoma"/>
        </w:rPr>
      </w:pPr>
      <w:r w:rsidRPr="000466D7">
        <w:rPr>
          <w:rFonts w:ascii="Century Gothic" w:hAnsi="Century Gothic" w:cs="Tahoma"/>
        </w:rPr>
        <w:t>Ces conditions financières sont susceptibles d’être actualisées par le conseil d’administration du Centre de Gestion. Cette actualisation fait l’objet d’un avenant à la présente convention.</w:t>
      </w:r>
    </w:p>
    <w:p w14:paraId="2249F280" w14:textId="77777777" w:rsidR="00A62CA3" w:rsidRPr="000466D7" w:rsidRDefault="00A62CA3" w:rsidP="000466D7">
      <w:pPr>
        <w:spacing w:before="120" w:after="0" w:line="240" w:lineRule="auto"/>
        <w:jc w:val="both"/>
        <w:rPr>
          <w:rFonts w:ascii="Century Gothic" w:hAnsi="Century Gothic" w:cs="Tahoma"/>
        </w:rPr>
      </w:pPr>
    </w:p>
    <w:p w14:paraId="4B456BAB" w14:textId="6275CAE8" w:rsidR="00192AB6" w:rsidRPr="000466D7" w:rsidRDefault="00192AB6" w:rsidP="000466D7">
      <w:pPr>
        <w:autoSpaceDE w:val="0"/>
        <w:autoSpaceDN w:val="0"/>
        <w:adjustRightInd w:val="0"/>
        <w:spacing w:before="120" w:after="0" w:line="240" w:lineRule="auto"/>
        <w:jc w:val="both"/>
        <w:rPr>
          <w:rFonts w:ascii="Century Gothic" w:hAnsi="Century Gothic" w:cs="Tahoma"/>
        </w:rPr>
      </w:pPr>
      <w:r w:rsidRPr="000466D7">
        <w:rPr>
          <w:rFonts w:ascii="Century Gothic" w:hAnsi="Century Gothic" w:cs="Tahoma"/>
          <w:b/>
          <w:bCs/>
        </w:rPr>
        <w:t xml:space="preserve">Article </w:t>
      </w:r>
      <w:r w:rsidR="0086338B" w:rsidRPr="000466D7">
        <w:rPr>
          <w:rFonts w:ascii="Century Gothic" w:hAnsi="Century Gothic" w:cs="Tahoma"/>
          <w:b/>
          <w:bCs/>
        </w:rPr>
        <w:t>5</w:t>
      </w:r>
      <w:r w:rsidR="000466D7">
        <w:rPr>
          <w:rFonts w:ascii="Century Gothic" w:hAnsi="Century Gothic" w:cs="Tahoma"/>
          <w:b/>
          <w:bCs/>
        </w:rPr>
        <w:t> </w:t>
      </w:r>
      <w:r w:rsidRPr="000466D7">
        <w:rPr>
          <w:rFonts w:ascii="Century Gothic" w:hAnsi="Century Gothic" w:cs="Tahoma"/>
          <w:b/>
          <w:bCs/>
        </w:rPr>
        <w:t xml:space="preserve">: </w:t>
      </w:r>
      <w:r w:rsidR="00A62CA3" w:rsidRPr="000466D7">
        <w:rPr>
          <w:rFonts w:ascii="Century Gothic" w:hAnsi="Century Gothic" w:cs="Tahoma"/>
          <w:b/>
          <w:bCs/>
        </w:rPr>
        <w:t>Protection des données à caractère personnel</w:t>
      </w:r>
    </w:p>
    <w:p w14:paraId="33F52FEE" w14:textId="575A0D13" w:rsidR="00A62CA3" w:rsidRPr="000466D7" w:rsidRDefault="00A62CA3" w:rsidP="000466D7">
      <w:pPr>
        <w:spacing w:before="120" w:after="0" w:line="240" w:lineRule="auto"/>
        <w:jc w:val="both"/>
        <w:rPr>
          <w:rFonts w:ascii="Century Gothic" w:hAnsi="Century Gothic" w:cs="Tahoma"/>
        </w:rPr>
      </w:pPr>
      <w:r w:rsidRPr="000466D7">
        <w:rPr>
          <w:rFonts w:ascii="Century Gothic" w:hAnsi="Century Gothic" w:cs="Tahoma"/>
        </w:rPr>
        <w:t>Les données personnelles collectées sont utilisées pour recueillir les saisines des élus et leur apporter tout conseil utile au respect des principes déontologiques.</w:t>
      </w:r>
    </w:p>
    <w:p w14:paraId="0ECD3EED" w14:textId="0793F8E8" w:rsidR="00A62CA3" w:rsidRPr="000466D7" w:rsidRDefault="00A62CA3" w:rsidP="000466D7">
      <w:pPr>
        <w:spacing w:before="120" w:after="0" w:line="240" w:lineRule="auto"/>
        <w:jc w:val="both"/>
        <w:rPr>
          <w:rFonts w:ascii="Century Gothic" w:hAnsi="Century Gothic" w:cs="Tahoma"/>
        </w:rPr>
      </w:pPr>
      <w:r w:rsidRPr="000466D7">
        <w:rPr>
          <w:rFonts w:ascii="Century Gothic" w:hAnsi="Century Gothic" w:cs="Tahoma"/>
        </w:rPr>
        <w:t>Le dispositif est mis en œuvre pour répondre aux exigences du code général des collectivités territoriales, notamment ses articles L. 1111-1-1 et R. 1111-1-A à R.</w:t>
      </w:r>
      <w:r w:rsidR="000466D7">
        <w:rPr>
          <w:rFonts w:ascii="Century Gothic" w:hAnsi="Century Gothic" w:cs="Tahoma"/>
        </w:rPr>
        <w:t xml:space="preserve"> </w:t>
      </w:r>
      <w:r w:rsidRPr="000466D7">
        <w:rPr>
          <w:rFonts w:ascii="Century Gothic" w:hAnsi="Century Gothic" w:cs="Tahoma"/>
        </w:rPr>
        <w:t>1111-1-D.</w:t>
      </w:r>
    </w:p>
    <w:p w14:paraId="0AF34B21" w14:textId="1CDEB912" w:rsidR="00A62CA3" w:rsidRPr="000466D7" w:rsidRDefault="00A62CA3" w:rsidP="000466D7">
      <w:pPr>
        <w:spacing w:before="120" w:after="0" w:line="240" w:lineRule="auto"/>
        <w:jc w:val="both"/>
        <w:rPr>
          <w:rFonts w:ascii="Century Gothic" w:hAnsi="Century Gothic" w:cs="Tahoma"/>
        </w:rPr>
      </w:pPr>
      <w:r w:rsidRPr="000466D7">
        <w:rPr>
          <w:rFonts w:ascii="Century Gothic" w:hAnsi="Century Gothic" w:cs="Tahoma"/>
        </w:rPr>
        <w:t xml:space="preserve">Le traitement est confidentiel, à destination du </w:t>
      </w:r>
      <w:r w:rsidR="000466D7">
        <w:rPr>
          <w:rFonts w:ascii="Century Gothic" w:hAnsi="Century Gothic" w:cs="Tahoma"/>
        </w:rPr>
        <w:t>référent déontologue</w:t>
      </w:r>
      <w:r w:rsidRPr="000466D7">
        <w:rPr>
          <w:rFonts w:ascii="Century Gothic" w:hAnsi="Century Gothic" w:cs="Tahoma"/>
        </w:rPr>
        <w:t xml:space="preserve"> et de son secrétariat.</w:t>
      </w:r>
    </w:p>
    <w:p w14:paraId="3E55D947" w14:textId="4C585CAC" w:rsidR="00A62CA3" w:rsidRPr="000466D7" w:rsidRDefault="00A62CA3" w:rsidP="000466D7">
      <w:pPr>
        <w:spacing w:before="120" w:after="0" w:line="240" w:lineRule="auto"/>
        <w:jc w:val="both"/>
        <w:rPr>
          <w:rFonts w:ascii="Century Gothic" w:hAnsi="Century Gothic" w:cs="Tahoma"/>
        </w:rPr>
      </w:pPr>
      <w:r w:rsidRPr="000466D7">
        <w:rPr>
          <w:rFonts w:ascii="Century Gothic" w:hAnsi="Century Gothic" w:cs="Tahoma"/>
        </w:rPr>
        <w:t>Les données transmises sont strictement proportionnées à la poursuite des finalités du signalement.</w:t>
      </w:r>
    </w:p>
    <w:p w14:paraId="4DA5CED9" w14:textId="43B88594" w:rsidR="00A62CA3" w:rsidRPr="000466D7" w:rsidRDefault="00A62CA3" w:rsidP="000466D7">
      <w:pPr>
        <w:spacing w:before="120" w:after="0" w:line="240" w:lineRule="auto"/>
        <w:jc w:val="both"/>
        <w:rPr>
          <w:rFonts w:ascii="Century Gothic" w:hAnsi="Century Gothic" w:cs="Tahoma"/>
        </w:rPr>
      </w:pPr>
      <w:r w:rsidRPr="000466D7">
        <w:rPr>
          <w:rFonts w:ascii="Century Gothic" w:hAnsi="Century Gothic" w:cs="Tahoma"/>
        </w:rPr>
        <w:t>Elles ne sont pas conservées au-delà d’une période de 12 mois à compter de la date de réponse apportée. Au terme de ce délai, les éléments tant en termes de questionnement que de réponse après anonymisation pourront être utilisés à des fins statistiques sans qu’il soit possible d’en identifier la personne à l’origine.</w:t>
      </w:r>
    </w:p>
    <w:p w14:paraId="30D7E593" w14:textId="5C5CD62C" w:rsidR="00A62CA3" w:rsidRPr="000466D7" w:rsidRDefault="00A62CA3" w:rsidP="000466D7">
      <w:pPr>
        <w:spacing w:before="120" w:after="0" w:line="240" w:lineRule="auto"/>
        <w:jc w:val="both"/>
        <w:rPr>
          <w:rFonts w:ascii="Century Gothic" w:hAnsi="Century Gothic" w:cs="Tahoma"/>
        </w:rPr>
      </w:pPr>
      <w:r w:rsidRPr="000466D7">
        <w:rPr>
          <w:rFonts w:ascii="Century Gothic" w:hAnsi="Century Gothic" w:cs="Tahoma"/>
        </w:rPr>
        <w:t xml:space="preserve">Conformément à la loi « informatique et libertés » n° 78-17 du 6 janvier 1978 et au règlement (UE) 2016/679 du Parlement </w:t>
      </w:r>
      <w:r w:rsidR="000466D7">
        <w:rPr>
          <w:rFonts w:ascii="Century Gothic" w:hAnsi="Century Gothic" w:cs="Tahoma"/>
        </w:rPr>
        <w:t>E</w:t>
      </w:r>
      <w:r w:rsidRPr="000466D7">
        <w:rPr>
          <w:rFonts w:ascii="Century Gothic" w:hAnsi="Century Gothic" w:cs="Tahoma"/>
        </w:rPr>
        <w:t>uropéen et du Conseil du 27 avril 2016 (RGPD), les personnes concernées disposent de différents droits (accès, rectification, effacement, etc.) sur leurs données. Ces droits peuvent être exercés par courrier à l’adresse suivante :</w:t>
      </w:r>
    </w:p>
    <w:p w14:paraId="0DB49A94" w14:textId="77777777" w:rsidR="00A62CA3" w:rsidRPr="000466D7" w:rsidRDefault="00A62CA3" w:rsidP="000466D7">
      <w:pPr>
        <w:spacing w:before="120" w:after="0" w:line="240" w:lineRule="auto"/>
        <w:ind w:left="709"/>
        <w:jc w:val="both"/>
        <w:rPr>
          <w:rFonts w:ascii="Century Gothic" w:hAnsi="Century Gothic" w:cs="Tahoma"/>
        </w:rPr>
      </w:pPr>
      <w:r w:rsidRPr="000466D7">
        <w:rPr>
          <w:rFonts w:ascii="Century Gothic" w:hAnsi="Century Gothic" w:cs="Tahoma"/>
        </w:rPr>
        <w:t>Centre de Gestion de la Fonction Publique Territoriale de la Manche,</w:t>
      </w:r>
    </w:p>
    <w:p w14:paraId="48C3C4A9" w14:textId="3C07AE40" w:rsidR="00A62CA3" w:rsidRPr="000466D7" w:rsidRDefault="00A62CA3" w:rsidP="000466D7">
      <w:pPr>
        <w:spacing w:before="120" w:after="0" w:line="240" w:lineRule="auto"/>
        <w:ind w:left="709"/>
        <w:jc w:val="both"/>
        <w:rPr>
          <w:rFonts w:ascii="Century Gothic" w:hAnsi="Century Gothic" w:cs="Tahoma"/>
        </w:rPr>
      </w:pPr>
      <w:proofErr w:type="gramStart"/>
      <w:r w:rsidRPr="000466D7">
        <w:rPr>
          <w:rFonts w:ascii="Century Gothic" w:hAnsi="Century Gothic" w:cs="Tahoma"/>
        </w:rPr>
        <w:t>à</w:t>
      </w:r>
      <w:proofErr w:type="gramEnd"/>
      <w:r w:rsidRPr="000466D7">
        <w:rPr>
          <w:rFonts w:ascii="Century Gothic" w:hAnsi="Century Gothic" w:cs="Tahoma"/>
        </w:rPr>
        <w:t xml:space="preserve"> l’attention du délégué à la protection des données,</w:t>
      </w:r>
    </w:p>
    <w:p w14:paraId="2697D41E" w14:textId="329738E3" w:rsidR="000466D7" w:rsidRDefault="00A62CA3" w:rsidP="000466D7">
      <w:pPr>
        <w:spacing w:before="120" w:after="0" w:line="240" w:lineRule="auto"/>
        <w:ind w:firstLine="709"/>
        <w:jc w:val="both"/>
        <w:rPr>
          <w:rFonts w:ascii="Century Gothic" w:hAnsi="Century Gothic" w:cs="Tahoma"/>
        </w:rPr>
      </w:pPr>
      <w:r w:rsidRPr="000466D7">
        <w:rPr>
          <w:rFonts w:ascii="Century Gothic" w:hAnsi="Century Gothic" w:cs="Tahoma"/>
        </w:rPr>
        <w:t>139 rue Guillaume Fouace</w:t>
      </w:r>
      <w:r w:rsidR="000466D7">
        <w:rPr>
          <w:rFonts w:ascii="Century Gothic" w:hAnsi="Century Gothic" w:cs="Tahoma"/>
        </w:rPr>
        <w:t xml:space="preserve"> - </w:t>
      </w:r>
      <w:r w:rsidRPr="000466D7">
        <w:rPr>
          <w:rFonts w:ascii="Century Gothic" w:hAnsi="Century Gothic" w:cs="Tahoma"/>
        </w:rPr>
        <w:t>CS 12309</w:t>
      </w:r>
      <w:r w:rsidR="000466D7">
        <w:rPr>
          <w:rFonts w:ascii="Century Gothic" w:hAnsi="Century Gothic" w:cs="Tahoma"/>
        </w:rPr>
        <w:t xml:space="preserve"> -</w:t>
      </w:r>
      <w:r w:rsidRPr="000466D7">
        <w:rPr>
          <w:rFonts w:ascii="Century Gothic" w:hAnsi="Century Gothic" w:cs="Tahoma"/>
        </w:rPr>
        <w:t xml:space="preserve"> 50009 SAINT-LÔ CEDEX.</w:t>
      </w:r>
      <w:r w:rsidR="000466D7">
        <w:rPr>
          <w:rFonts w:ascii="Century Gothic" w:hAnsi="Century Gothic" w:cs="Tahoma"/>
        </w:rPr>
        <w:br w:type="page"/>
      </w:r>
    </w:p>
    <w:p w14:paraId="6E6E1A48" w14:textId="77777777" w:rsidR="00A62CA3" w:rsidRPr="000466D7" w:rsidRDefault="00A62CA3" w:rsidP="000466D7">
      <w:pPr>
        <w:spacing w:before="120" w:after="0" w:line="240" w:lineRule="auto"/>
        <w:ind w:firstLine="709"/>
        <w:jc w:val="both"/>
        <w:rPr>
          <w:rFonts w:ascii="Century Gothic" w:hAnsi="Century Gothic" w:cs="Tahoma"/>
        </w:rPr>
      </w:pPr>
    </w:p>
    <w:p w14:paraId="4C991739" w14:textId="3EBA0D45" w:rsidR="00A62CA3" w:rsidRPr="000466D7" w:rsidRDefault="00A62CA3" w:rsidP="000466D7">
      <w:pPr>
        <w:spacing w:before="120" w:after="0" w:line="240" w:lineRule="auto"/>
        <w:jc w:val="both"/>
        <w:rPr>
          <w:rFonts w:ascii="Century Gothic" w:hAnsi="Century Gothic" w:cs="Tahoma"/>
        </w:rPr>
      </w:pPr>
      <w:r w:rsidRPr="000466D7">
        <w:rPr>
          <w:rFonts w:ascii="Century Gothic" w:hAnsi="Century Gothic" w:cs="Tahoma"/>
        </w:rPr>
        <w:t xml:space="preserve">Si les intéressés estiment, après avoir contacté le délégué à la protection des données, que leurs droits concernant leurs données personnelles ne sont pas respectés, </w:t>
      </w:r>
      <w:r w:rsidR="000466D7">
        <w:rPr>
          <w:rFonts w:ascii="Century Gothic" w:hAnsi="Century Gothic" w:cs="Tahoma"/>
        </w:rPr>
        <w:t>ils</w:t>
      </w:r>
      <w:r w:rsidRPr="000466D7">
        <w:rPr>
          <w:rFonts w:ascii="Century Gothic" w:hAnsi="Century Gothic" w:cs="Tahoma"/>
        </w:rPr>
        <w:t xml:space="preserve"> peuvent introduire une réclamation auprès de la Commission Nationale de l’Informatique et les Libertés (CNIL) :</w:t>
      </w:r>
    </w:p>
    <w:p w14:paraId="281CCEC2" w14:textId="02127D49" w:rsidR="00A62CA3" w:rsidRPr="000466D7" w:rsidRDefault="00A62CA3" w:rsidP="000466D7">
      <w:pPr>
        <w:pStyle w:val="Paragraphedeliste"/>
        <w:numPr>
          <w:ilvl w:val="0"/>
          <w:numId w:val="11"/>
        </w:numPr>
        <w:spacing w:before="120" w:after="0" w:line="240" w:lineRule="auto"/>
        <w:jc w:val="both"/>
        <w:rPr>
          <w:rFonts w:ascii="Century Gothic" w:hAnsi="Century Gothic" w:cs="Tahoma"/>
        </w:rPr>
      </w:pPr>
      <w:proofErr w:type="gramStart"/>
      <w:r w:rsidRPr="000466D7">
        <w:rPr>
          <w:rFonts w:ascii="Century Gothic" w:hAnsi="Century Gothic" w:cs="Tahoma"/>
        </w:rPr>
        <w:t>sur</w:t>
      </w:r>
      <w:proofErr w:type="gramEnd"/>
      <w:r w:rsidRPr="000466D7">
        <w:rPr>
          <w:rFonts w:ascii="Century Gothic" w:hAnsi="Century Gothic" w:cs="Tahoma"/>
        </w:rPr>
        <w:t xml:space="preserve"> le site de la CNIL : https://www.cnil.fr/fr/plaintes</w:t>
      </w:r>
    </w:p>
    <w:p w14:paraId="75FD0090" w14:textId="7001EB97" w:rsidR="00684431" w:rsidRPr="000466D7" w:rsidRDefault="00A62CA3" w:rsidP="000466D7">
      <w:pPr>
        <w:pStyle w:val="Paragraphedeliste"/>
        <w:numPr>
          <w:ilvl w:val="0"/>
          <w:numId w:val="11"/>
        </w:numPr>
        <w:spacing w:before="120" w:after="0" w:line="240" w:lineRule="auto"/>
        <w:jc w:val="both"/>
        <w:rPr>
          <w:rFonts w:ascii="Century Gothic" w:hAnsi="Century Gothic" w:cs="Tahoma"/>
        </w:rPr>
      </w:pPr>
      <w:proofErr w:type="gramStart"/>
      <w:r w:rsidRPr="000466D7">
        <w:rPr>
          <w:rFonts w:ascii="Century Gothic" w:hAnsi="Century Gothic" w:cs="Tahoma"/>
        </w:rPr>
        <w:t>par</w:t>
      </w:r>
      <w:proofErr w:type="gramEnd"/>
      <w:r w:rsidRPr="000466D7">
        <w:rPr>
          <w:rFonts w:ascii="Century Gothic" w:hAnsi="Century Gothic" w:cs="Tahoma"/>
        </w:rPr>
        <w:t xml:space="preserve"> voie postal</w:t>
      </w:r>
      <w:r w:rsidR="000466D7">
        <w:rPr>
          <w:rFonts w:ascii="Century Gothic" w:hAnsi="Century Gothic" w:cs="Tahoma"/>
        </w:rPr>
        <w:t>e</w:t>
      </w:r>
      <w:r w:rsidRPr="000466D7">
        <w:rPr>
          <w:rFonts w:ascii="Century Gothic" w:hAnsi="Century Gothic" w:cs="Tahoma"/>
        </w:rPr>
        <w:t>  : CNIL - 3 Place de Fontenoy - TSA 80715 - 75334 PARIS CEDEX</w:t>
      </w:r>
      <w:r w:rsidR="000466D7">
        <w:rPr>
          <w:rFonts w:ascii="Century Gothic" w:hAnsi="Century Gothic" w:cs="Tahoma"/>
        </w:rPr>
        <w:t> </w:t>
      </w:r>
      <w:r w:rsidRPr="000466D7">
        <w:rPr>
          <w:rFonts w:ascii="Century Gothic" w:hAnsi="Century Gothic" w:cs="Tahoma"/>
        </w:rPr>
        <w:t>07</w:t>
      </w:r>
    </w:p>
    <w:p w14:paraId="4223660B" w14:textId="77777777" w:rsidR="00A62CA3" w:rsidRPr="000466D7" w:rsidRDefault="00A62CA3" w:rsidP="000466D7">
      <w:pPr>
        <w:pStyle w:val="Paragraphedeliste"/>
        <w:spacing w:before="120" w:after="0" w:line="240" w:lineRule="auto"/>
        <w:jc w:val="both"/>
        <w:rPr>
          <w:rFonts w:ascii="Century Gothic" w:hAnsi="Century Gothic" w:cs="Tahoma"/>
        </w:rPr>
      </w:pPr>
    </w:p>
    <w:p w14:paraId="3BDBA3A2" w14:textId="71125AC3" w:rsidR="006B3B12" w:rsidRPr="000466D7" w:rsidRDefault="00C951AA" w:rsidP="000466D7">
      <w:pPr>
        <w:autoSpaceDE w:val="0"/>
        <w:autoSpaceDN w:val="0"/>
        <w:adjustRightInd w:val="0"/>
        <w:spacing w:before="120" w:after="0" w:line="240" w:lineRule="auto"/>
        <w:jc w:val="both"/>
        <w:rPr>
          <w:rFonts w:ascii="Century Gothic" w:hAnsi="Century Gothic" w:cs="Tahoma"/>
        </w:rPr>
      </w:pPr>
      <w:r w:rsidRPr="000466D7">
        <w:rPr>
          <w:rFonts w:ascii="Century Gothic" w:hAnsi="Century Gothic" w:cs="Tahoma"/>
          <w:b/>
          <w:bCs/>
        </w:rPr>
        <w:t xml:space="preserve">Article </w:t>
      </w:r>
      <w:r w:rsidR="00491D38" w:rsidRPr="000466D7">
        <w:rPr>
          <w:rFonts w:ascii="Century Gothic" w:hAnsi="Century Gothic" w:cs="Tahoma"/>
          <w:b/>
          <w:bCs/>
        </w:rPr>
        <w:t>6</w:t>
      </w:r>
      <w:r w:rsidR="000466D7">
        <w:rPr>
          <w:rFonts w:ascii="Century Gothic" w:hAnsi="Century Gothic" w:cs="Tahoma"/>
          <w:b/>
          <w:bCs/>
        </w:rPr>
        <w:t> </w:t>
      </w:r>
      <w:r w:rsidR="005E3B0A" w:rsidRPr="000466D7">
        <w:rPr>
          <w:rFonts w:ascii="Century Gothic" w:hAnsi="Century Gothic" w:cs="Tahoma"/>
          <w:b/>
          <w:bCs/>
        </w:rPr>
        <w:t>:</w:t>
      </w:r>
      <w:r w:rsidR="00461386" w:rsidRPr="000466D7">
        <w:rPr>
          <w:rFonts w:ascii="Century Gothic" w:hAnsi="Century Gothic" w:cs="Tahoma"/>
          <w:b/>
          <w:bCs/>
        </w:rPr>
        <w:t xml:space="preserve"> </w:t>
      </w:r>
      <w:r w:rsidR="00ED7D19" w:rsidRPr="000466D7">
        <w:rPr>
          <w:rFonts w:ascii="Century Gothic" w:hAnsi="Century Gothic" w:cs="Tahoma"/>
          <w:b/>
          <w:bCs/>
        </w:rPr>
        <w:t>Durée de la convention</w:t>
      </w:r>
    </w:p>
    <w:p w14:paraId="229D50D9" w14:textId="77777777" w:rsidR="00ED7D19" w:rsidRPr="000466D7" w:rsidRDefault="00ED7D19" w:rsidP="000466D7">
      <w:pPr>
        <w:pStyle w:val="Texte"/>
        <w:rPr>
          <w:rFonts w:ascii="Century Gothic" w:hAnsi="Century Gothic"/>
          <w:sz w:val="22"/>
          <w:szCs w:val="22"/>
        </w:rPr>
      </w:pPr>
      <w:r w:rsidRPr="000466D7">
        <w:rPr>
          <w:rFonts w:ascii="Century Gothic" w:hAnsi="Century Gothic"/>
          <w:sz w:val="22"/>
          <w:szCs w:val="22"/>
        </w:rPr>
        <w:t>La présente convention prend effet le premier jour du mois suivant la date de sa signature par la collectivité (ou l’établissement), et prendra fin le 31 décembre 2026.</w:t>
      </w:r>
    </w:p>
    <w:p w14:paraId="40DADF98" w14:textId="4CF85A67" w:rsidR="006B3B12" w:rsidRPr="000466D7" w:rsidRDefault="00ED7D19" w:rsidP="000466D7">
      <w:pPr>
        <w:pStyle w:val="Texte"/>
        <w:rPr>
          <w:rFonts w:ascii="Century Gothic" w:hAnsi="Century Gothic"/>
          <w:sz w:val="22"/>
          <w:szCs w:val="22"/>
        </w:rPr>
      </w:pPr>
      <w:r w:rsidRPr="000466D7">
        <w:rPr>
          <w:rFonts w:ascii="Century Gothic" w:hAnsi="Century Gothic"/>
          <w:sz w:val="22"/>
          <w:szCs w:val="22"/>
        </w:rPr>
        <w:t>En cas de report des élections municipales de 2026, ou en raison de tout évènement exceptionnel ou cas de force majeure, le Centre de Gestion pourra décider de proroger la présente convention d’une année.</w:t>
      </w:r>
    </w:p>
    <w:p w14:paraId="25B4ED54" w14:textId="77777777" w:rsidR="00ED7D19" w:rsidRPr="000466D7" w:rsidRDefault="00ED7D19" w:rsidP="000466D7">
      <w:pPr>
        <w:pStyle w:val="Texte"/>
        <w:rPr>
          <w:rFonts w:ascii="Century Gothic" w:hAnsi="Century Gothic"/>
          <w:b/>
          <w:bCs/>
          <w:sz w:val="22"/>
          <w:szCs w:val="22"/>
        </w:rPr>
      </w:pPr>
    </w:p>
    <w:p w14:paraId="6C1283E6" w14:textId="6B430A9C" w:rsidR="00340784" w:rsidRPr="000466D7" w:rsidRDefault="000759FD" w:rsidP="000466D7">
      <w:pPr>
        <w:autoSpaceDE w:val="0"/>
        <w:autoSpaceDN w:val="0"/>
        <w:adjustRightInd w:val="0"/>
        <w:spacing w:before="120" w:after="0" w:line="240" w:lineRule="auto"/>
        <w:jc w:val="both"/>
        <w:rPr>
          <w:rFonts w:ascii="Century Gothic" w:hAnsi="Century Gothic" w:cs="Tahoma"/>
          <w:b/>
          <w:bCs/>
        </w:rPr>
      </w:pPr>
      <w:r w:rsidRPr="000466D7">
        <w:rPr>
          <w:rFonts w:ascii="Century Gothic" w:hAnsi="Century Gothic" w:cs="Tahoma"/>
          <w:b/>
          <w:bCs/>
        </w:rPr>
        <w:t xml:space="preserve">Article </w:t>
      </w:r>
      <w:r w:rsidR="00ED7D19" w:rsidRPr="000466D7">
        <w:rPr>
          <w:rFonts w:ascii="Century Gothic" w:hAnsi="Century Gothic" w:cs="Tahoma"/>
          <w:b/>
          <w:bCs/>
        </w:rPr>
        <w:t>7</w:t>
      </w:r>
      <w:r w:rsidRPr="000466D7">
        <w:rPr>
          <w:rFonts w:ascii="Century Gothic" w:hAnsi="Century Gothic" w:cs="Tahoma"/>
          <w:b/>
          <w:bCs/>
        </w:rPr>
        <w:t> : Résiliation de la convention</w:t>
      </w:r>
    </w:p>
    <w:p w14:paraId="0BB1402E" w14:textId="38652EC8" w:rsidR="000759FD" w:rsidRPr="000466D7" w:rsidRDefault="000759FD" w:rsidP="000466D7">
      <w:pPr>
        <w:pStyle w:val="Texte"/>
        <w:rPr>
          <w:rFonts w:ascii="Century Gothic" w:hAnsi="Century Gothic"/>
          <w:sz w:val="22"/>
          <w:szCs w:val="22"/>
        </w:rPr>
      </w:pPr>
      <w:r w:rsidRPr="000466D7">
        <w:rPr>
          <w:rFonts w:ascii="Century Gothic" w:hAnsi="Century Gothic"/>
          <w:sz w:val="22"/>
          <w:szCs w:val="22"/>
        </w:rPr>
        <w:t>La présente convention peut</w:t>
      </w:r>
      <w:r w:rsidR="000466D7">
        <w:rPr>
          <w:rFonts w:ascii="Century Gothic" w:hAnsi="Century Gothic"/>
          <w:sz w:val="22"/>
          <w:szCs w:val="22"/>
        </w:rPr>
        <w:t xml:space="preserve"> </w:t>
      </w:r>
      <w:r w:rsidRPr="000466D7">
        <w:rPr>
          <w:rFonts w:ascii="Century Gothic" w:hAnsi="Century Gothic"/>
          <w:sz w:val="22"/>
          <w:szCs w:val="22"/>
        </w:rPr>
        <w:t xml:space="preserve">être dénoncée par la collectivité </w:t>
      </w:r>
      <w:r w:rsidR="00F7776A" w:rsidRPr="000466D7">
        <w:rPr>
          <w:rFonts w:ascii="Century Gothic" w:hAnsi="Century Gothic"/>
          <w:sz w:val="22"/>
          <w:szCs w:val="22"/>
        </w:rPr>
        <w:t>(</w:t>
      </w:r>
      <w:r w:rsidR="00EC208E" w:rsidRPr="000466D7">
        <w:rPr>
          <w:rFonts w:ascii="Century Gothic" w:hAnsi="Century Gothic"/>
          <w:sz w:val="22"/>
          <w:szCs w:val="22"/>
        </w:rPr>
        <w:t>ou l’établissement</w:t>
      </w:r>
      <w:r w:rsidR="00F7776A" w:rsidRPr="000466D7">
        <w:rPr>
          <w:rFonts w:ascii="Century Gothic" w:hAnsi="Century Gothic"/>
          <w:sz w:val="22"/>
          <w:szCs w:val="22"/>
        </w:rPr>
        <w:t>)</w:t>
      </w:r>
      <w:r w:rsidR="00EC208E" w:rsidRPr="000466D7">
        <w:rPr>
          <w:rFonts w:ascii="Century Gothic" w:hAnsi="Century Gothic"/>
          <w:sz w:val="22"/>
          <w:szCs w:val="22"/>
        </w:rPr>
        <w:t xml:space="preserve"> signataire</w:t>
      </w:r>
      <w:r w:rsidRPr="000466D7">
        <w:rPr>
          <w:rFonts w:ascii="Century Gothic" w:hAnsi="Century Gothic"/>
          <w:sz w:val="22"/>
          <w:szCs w:val="22"/>
        </w:rPr>
        <w:t xml:space="preserve"> au 30</w:t>
      </w:r>
      <w:r w:rsidR="00EC208E" w:rsidRPr="000466D7">
        <w:rPr>
          <w:rFonts w:ascii="Century Gothic" w:hAnsi="Century Gothic"/>
          <w:sz w:val="22"/>
          <w:szCs w:val="22"/>
        </w:rPr>
        <w:t> </w:t>
      </w:r>
      <w:r w:rsidRPr="000466D7">
        <w:rPr>
          <w:rFonts w:ascii="Century Gothic" w:hAnsi="Century Gothic"/>
          <w:sz w:val="22"/>
          <w:szCs w:val="22"/>
        </w:rPr>
        <w:t xml:space="preserve">septembre de chaque échéance annuelle au plus tard. Passé cette date, les engagements conventionnels seront maintenus pour l’année suivante. </w:t>
      </w:r>
      <w:r w:rsidR="00EC208E" w:rsidRPr="000466D7">
        <w:rPr>
          <w:rFonts w:ascii="Century Gothic" w:hAnsi="Century Gothic"/>
          <w:sz w:val="22"/>
          <w:szCs w:val="22"/>
        </w:rPr>
        <w:t>La résiliation s’effectuera</w:t>
      </w:r>
      <w:r w:rsidRPr="000466D7">
        <w:rPr>
          <w:rFonts w:ascii="Century Gothic" w:hAnsi="Century Gothic"/>
          <w:sz w:val="22"/>
          <w:szCs w:val="22"/>
        </w:rPr>
        <w:t xml:space="preserve"> par lettre recommandée avec accusé de réception en exposant les motifs de sa décision, et ce sous réserve du respect d’un préavis de trois mois qui court à compter de la réception dudit courrier.</w:t>
      </w:r>
    </w:p>
    <w:p w14:paraId="40BEB453" w14:textId="316698CE" w:rsidR="000759FD" w:rsidRPr="000466D7" w:rsidRDefault="00ED7D19" w:rsidP="000466D7">
      <w:pPr>
        <w:autoSpaceDE w:val="0"/>
        <w:autoSpaceDN w:val="0"/>
        <w:adjustRightInd w:val="0"/>
        <w:spacing w:before="120" w:after="0" w:line="240" w:lineRule="auto"/>
        <w:jc w:val="both"/>
        <w:rPr>
          <w:rFonts w:ascii="Century Gothic" w:hAnsi="Century Gothic" w:cs="Tahoma"/>
        </w:rPr>
      </w:pPr>
      <w:r w:rsidRPr="000466D7">
        <w:rPr>
          <w:rFonts w:ascii="Century Gothic" w:hAnsi="Century Gothic" w:cs="Tahoma"/>
        </w:rPr>
        <w:t>Les missions ne peuvent être interrompues par la collectivité (ou l’établissement) en cours de réalisation et feront l’objet des contributions prévues initialement.</w:t>
      </w:r>
    </w:p>
    <w:p w14:paraId="627DA3CD" w14:textId="77777777" w:rsidR="00ED7D19" w:rsidRPr="000466D7" w:rsidRDefault="00ED7D19" w:rsidP="000466D7">
      <w:pPr>
        <w:autoSpaceDE w:val="0"/>
        <w:autoSpaceDN w:val="0"/>
        <w:adjustRightInd w:val="0"/>
        <w:spacing w:before="120" w:after="0" w:line="240" w:lineRule="auto"/>
        <w:jc w:val="both"/>
        <w:rPr>
          <w:rFonts w:ascii="Century Gothic" w:hAnsi="Century Gothic" w:cs="Tahoma"/>
        </w:rPr>
      </w:pPr>
    </w:p>
    <w:p w14:paraId="4AC873CA" w14:textId="0C19937C" w:rsidR="006B3B12" w:rsidRPr="000466D7" w:rsidRDefault="00B66B11" w:rsidP="000466D7">
      <w:pPr>
        <w:autoSpaceDE w:val="0"/>
        <w:autoSpaceDN w:val="0"/>
        <w:adjustRightInd w:val="0"/>
        <w:spacing w:before="120" w:after="0" w:line="240" w:lineRule="auto"/>
        <w:jc w:val="both"/>
        <w:rPr>
          <w:rFonts w:ascii="Century Gothic" w:hAnsi="Century Gothic" w:cs="Tahoma"/>
          <w:b/>
          <w:bCs/>
        </w:rPr>
      </w:pPr>
      <w:r w:rsidRPr="000466D7">
        <w:rPr>
          <w:rFonts w:ascii="Century Gothic" w:hAnsi="Century Gothic" w:cs="Tahoma"/>
          <w:b/>
          <w:bCs/>
        </w:rPr>
        <w:t xml:space="preserve">Article </w:t>
      </w:r>
      <w:r w:rsidR="000466D7">
        <w:rPr>
          <w:rFonts w:ascii="Century Gothic" w:hAnsi="Century Gothic" w:cs="Tahoma"/>
          <w:b/>
          <w:bCs/>
        </w:rPr>
        <w:t>8 </w:t>
      </w:r>
      <w:r w:rsidR="005E3B0A" w:rsidRPr="000466D7">
        <w:rPr>
          <w:rFonts w:ascii="Century Gothic" w:hAnsi="Century Gothic" w:cs="Tahoma"/>
          <w:b/>
          <w:bCs/>
        </w:rPr>
        <w:t xml:space="preserve">: </w:t>
      </w:r>
      <w:r w:rsidR="006B3B12" w:rsidRPr="000466D7">
        <w:rPr>
          <w:rFonts w:ascii="Century Gothic" w:hAnsi="Century Gothic" w:cs="Tahoma"/>
          <w:b/>
          <w:bCs/>
        </w:rPr>
        <w:t>Règlement des litiges nés de la convention</w:t>
      </w:r>
    </w:p>
    <w:p w14:paraId="390072D4" w14:textId="5042A1F7" w:rsidR="00ED7D19" w:rsidRPr="000466D7" w:rsidRDefault="00ED7D19" w:rsidP="000466D7">
      <w:pPr>
        <w:spacing w:before="120" w:after="0" w:line="240" w:lineRule="auto"/>
        <w:jc w:val="both"/>
        <w:rPr>
          <w:rFonts w:ascii="Century Gothic" w:hAnsi="Century Gothic" w:cs="Tahoma"/>
        </w:rPr>
      </w:pPr>
      <w:r w:rsidRPr="000466D7">
        <w:rPr>
          <w:rFonts w:ascii="Century Gothic" w:hAnsi="Century Gothic" w:cs="Tahoma"/>
        </w:rPr>
        <w:t>Les parties s’engagent mutuellement à se rencontrer dans le cadre d’une procédure de conciliation préalable en cas de difficultés dans l’exécution de la présente convention.</w:t>
      </w:r>
    </w:p>
    <w:p w14:paraId="567F8F45" w14:textId="79A85A0B" w:rsidR="00ED7D19" w:rsidRPr="000466D7" w:rsidRDefault="00ED7D19" w:rsidP="000466D7">
      <w:pPr>
        <w:spacing w:before="120" w:after="0" w:line="240" w:lineRule="auto"/>
        <w:jc w:val="both"/>
        <w:rPr>
          <w:rFonts w:ascii="Century Gothic" w:hAnsi="Century Gothic" w:cs="Tahoma"/>
        </w:rPr>
      </w:pPr>
      <w:r w:rsidRPr="000466D7">
        <w:rPr>
          <w:rFonts w:ascii="Century Gothic" w:hAnsi="Century Gothic" w:cs="Tahoma"/>
        </w:rPr>
        <w:t xml:space="preserve">En cas de litige survenant entre les parties à l’occasion de l’exécution de la présente convention, compétence sera donnée au </w:t>
      </w:r>
      <w:r w:rsidR="000466D7">
        <w:rPr>
          <w:rFonts w:ascii="Century Gothic" w:hAnsi="Century Gothic" w:cs="Tahoma"/>
        </w:rPr>
        <w:t>T</w:t>
      </w:r>
      <w:r w:rsidRPr="000466D7">
        <w:rPr>
          <w:rFonts w:ascii="Century Gothic" w:hAnsi="Century Gothic" w:cs="Tahoma"/>
        </w:rPr>
        <w:t xml:space="preserve">ribunal </w:t>
      </w:r>
      <w:r w:rsidR="000466D7">
        <w:rPr>
          <w:rFonts w:ascii="Century Gothic" w:hAnsi="Century Gothic" w:cs="Tahoma"/>
        </w:rPr>
        <w:t>A</w:t>
      </w:r>
      <w:r w:rsidRPr="000466D7">
        <w:rPr>
          <w:rFonts w:ascii="Century Gothic" w:hAnsi="Century Gothic" w:cs="Tahoma"/>
        </w:rPr>
        <w:t>dministratif de Caen.</w:t>
      </w:r>
    </w:p>
    <w:p w14:paraId="2CC0DE15" w14:textId="77777777" w:rsidR="00ED7D19" w:rsidRPr="000466D7" w:rsidRDefault="00ED7D19" w:rsidP="000466D7">
      <w:pPr>
        <w:spacing w:before="120" w:after="0" w:line="240" w:lineRule="auto"/>
        <w:jc w:val="both"/>
        <w:rPr>
          <w:rFonts w:ascii="Century Gothic" w:hAnsi="Century Gothic" w:cs="Tahoma"/>
        </w:rPr>
      </w:pPr>
    </w:p>
    <w:p w14:paraId="5A423826" w14:textId="4A9358B9" w:rsidR="00340784" w:rsidRPr="00AB2438" w:rsidRDefault="005E3B0A" w:rsidP="000466D7">
      <w:pPr>
        <w:spacing w:before="120" w:after="0" w:line="240" w:lineRule="auto"/>
        <w:jc w:val="both"/>
        <w:rPr>
          <w:rFonts w:ascii="Century Gothic" w:hAnsi="Century Gothic" w:cs="Tahoma"/>
        </w:rPr>
      </w:pPr>
      <w:r w:rsidRPr="00AB2438">
        <w:rPr>
          <w:rFonts w:ascii="Century Gothic" w:hAnsi="Century Gothic" w:cs="Tahoma"/>
        </w:rPr>
        <w:t>Fait en 2 exemplaires</w:t>
      </w:r>
    </w:p>
    <w:p w14:paraId="3970FCE5" w14:textId="7B94A923" w:rsidR="00340784" w:rsidRPr="00AB2438" w:rsidRDefault="00ED7D16" w:rsidP="000466D7">
      <w:pPr>
        <w:tabs>
          <w:tab w:val="left" w:pos="1276"/>
          <w:tab w:val="left" w:leader="dot" w:pos="5103"/>
        </w:tabs>
        <w:spacing w:before="120" w:after="0" w:line="240" w:lineRule="auto"/>
        <w:jc w:val="both"/>
        <w:rPr>
          <w:rFonts w:ascii="Century Gothic" w:hAnsi="Century Gothic" w:cs="Tahoma"/>
        </w:rPr>
      </w:pPr>
      <w:r w:rsidRPr="00AB2438">
        <w:rPr>
          <w:rFonts w:ascii="Century Gothic" w:hAnsi="Century Gothic" w:cs="Tahoma"/>
        </w:rPr>
        <w:t>À</w:t>
      </w:r>
      <w:r w:rsidR="001F02A4" w:rsidRPr="00AB2438">
        <w:rPr>
          <w:rFonts w:ascii="Century Gothic" w:hAnsi="Century Gothic" w:cs="Tahoma"/>
        </w:rPr>
        <w:t xml:space="preserve"> (lieu) :</w:t>
      </w:r>
      <w:r w:rsidR="001F02A4" w:rsidRPr="00AB2438">
        <w:rPr>
          <w:rFonts w:ascii="Century Gothic" w:hAnsi="Century Gothic" w:cs="Tahoma"/>
        </w:rPr>
        <w:tab/>
      </w:r>
      <w:r w:rsidR="001F02A4" w:rsidRPr="00AB2438">
        <w:rPr>
          <w:rFonts w:ascii="Century Gothic" w:hAnsi="Century Gothic" w:cs="Tahoma"/>
        </w:rPr>
        <w:tab/>
      </w:r>
    </w:p>
    <w:p w14:paraId="3EA2B708" w14:textId="1129A0D9" w:rsidR="001F02A4" w:rsidRPr="00AB2438" w:rsidRDefault="00340784" w:rsidP="000466D7">
      <w:pPr>
        <w:tabs>
          <w:tab w:val="left" w:pos="1276"/>
          <w:tab w:val="left" w:leader="dot" w:pos="5103"/>
        </w:tabs>
        <w:spacing w:before="120" w:after="0" w:line="240" w:lineRule="auto"/>
        <w:jc w:val="both"/>
        <w:rPr>
          <w:rFonts w:ascii="Century Gothic" w:hAnsi="Century Gothic" w:cs="Tahoma"/>
        </w:rPr>
      </w:pPr>
      <w:r w:rsidRPr="00AB2438">
        <w:rPr>
          <w:rFonts w:ascii="Century Gothic" w:hAnsi="Century Gothic" w:cs="Tahoma"/>
        </w:rPr>
        <w:t>Le (date) :</w:t>
      </w:r>
      <w:r w:rsidRPr="00AB2438">
        <w:rPr>
          <w:rFonts w:ascii="Century Gothic" w:hAnsi="Century Gothic" w:cs="Tahoma"/>
        </w:rPr>
        <w:tab/>
      </w:r>
      <w:r w:rsidR="001F02A4" w:rsidRPr="00AB2438">
        <w:rPr>
          <w:rFonts w:ascii="Century Gothic" w:hAnsi="Century Gothic" w:cs="Tahoma"/>
        </w:rPr>
        <w:tab/>
      </w:r>
    </w:p>
    <w:p w14:paraId="5BAF2A27" w14:textId="218DB24C" w:rsidR="001F02A4" w:rsidRPr="00AB2438" w:rsidRDefault="001F02A4" w:rsidP="000466D7">
      <w:pPr>
        <w:tabs>
          <w:tab w:val="left" w:pos="1276"/>
          <w:tab w:val="left" w:leader="dot" w:pos="5103"/>
        </w:tabs>
        <w:spacing w:before="120" w:after="0" w:line="240" w:lineRule="auto"/>
        <w:jc w:val="both"/>
        <w:rPr>
          <w:rFonts w:ascii="Century Gothic" w:hAnsi="Century Gothic" w:cs="Tahom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1F02A4" w:rsidRPr="00AB2438" w14:paraId="0FBB296A" w14:textId="77777777" w:rsidTr="001F02A4">
        <w:tc>
          <w:tcPr>
            <w:tcW w:w="4606" w:type="dxa"/>
          </w:tcPr>
          <w:p w14:paraId="69F10EC2" w14:textId="37E34671" w:rsidR="001F02A4" w:rsidRPr="00AB2438" w:rsidRDefault="001F02A4" w:rsidP="001F02A4">
            <w:pPr>
              <w:jc w:val="center"/>
              <w:rPr>
                <w:rFonts w:ascii="Century Gothic" w:hAnsi="Century Gothic" w:cs="Tahoma"/>
                <w:b/>
              </w:rPr>
            </w:pPr>
            <w:r w:rsidRPr="00AB2438">
              <w:rPr>
                <w:rFonts w:ascii="Century Gothic" w:hAnsi="Century Gothic" w:cs="Tahoma"/>
                <w:b/>
              </w:rPr>
              <w:t>Le Président du CDG</w:t>
            </w:r>
            <w:r w:rsidR="00ED7D16" w:rsidRPr="00AB2438">
              <w:rPr>
                <w:rFonts w:ascii="Century Gothic" w:hAnsi="Century Gothic" w:cs="Tahoma"/>
                <w:b/>
              </w:rPr>
              <w:t xml:space="preserve"> 50</w:t>
            </w:r>
          </w:p>
          <w:p w14:paraId="2512243C" w14:textId="4404DAB4" w:rsidR="00ED7D16" w:rsidRPr="00AB2438" w:rsidRDefault="00ED7D16" w:rsidP="001F02A4">
            <w:pPr>
              <w:jc w:val="center"/>
              <w:rPr>
                <w:rFonts w:ascii="Century Gothic" w:hAnsi="Century Gothic" w:cs="Tahoma"/>
                <w:b/>
              </w:rPr>
            </w:pPr>
          </w:p>
          <w:p w14:paraId="0946FB1E" w14:textId="50D9EEBB" w:rsidR="00ED7D16" w:rsidRPr="00AB2438" w:rsidRDefault="00ED7D16" w:rsidP="001F02A4">
            <w:pPr>
              <w:jc w:val="center"/>
              <w:rPr>
                <w:rFonts w:ascii="Century Gothic" w:hAnsi="Century Gothic" w:cs="Tahoma"/>
                <w:b/>
              </w:rPr>
            </w:pPr>
          </w:p>
          <w:p w14:paraId="53A85493" w14:textId="77777777" w:rsidR="00ED7D16" w:rsidRPr="00AB2438" w:rsidRDefault="00ED7D16" w:rsidP="001F02A4">
            <w:pPr>
              <w:jc w:val="center"/>
              <w:rPr>
                <w:rFonts w:ascii="Century Gothic" w:hAnsi="Century Gothic" w:cs="Tahoma"/>
                <w:b/>
              </w:rPr>
            </w:pPr>
          </w:p>
          <w:p w14:paraId="7448D74F" w14:textId="4E6026C2" w:rsidR="001F02A4" w:rsidRPr="00AB2438" w:rsidRDefault="00ED7D16" w:rsidP="00830E82">
            <w:pPr>
              <w:jc w:val="center"/>
              <w:rPr>
                <w:rFonts w:ascii="Century Gothic" w:hAnsi="Century Gothic" w:cs="Tahoma"/>
                <w:b/>
                <w:bCs/>
                <w:u w:val="single"/>
              </w:rPr>
            </w:pPr>
            <w:r w:rsidRPr="00AB2438">
              <w:rPr>
                <w:rFonts w:ascii="Century Gothic" w:hAnsi="Century Gothic" w:cs="Tahoma"/>
                <w:b/>
                <w:bCs/>
                <w:u w:val="single"/>
              </w:rPr>
              <w:t>Jean-Dominique BOURDIN</w:t>
            </w:r>
          </w:p>
        </w:tc>
        <w:tc>
          <w:tcPr>
            <w:tcW w:w="4606" w:type="dxa"/>
          </w:tcPr>
          <w:p w14:paraId="2978E6BD" w14:textId="0FE38060" w:rsidR="001F02A4" w:rsidRPr="00AB2438" w:rsidRDefault="001F02A4" w:rsidP="001F02A4">
            <w:pPr>
              <w:jc w:val="center"/>
              <w:rPr>
                <w:rFonts w:ascii="Century Gothic" w:hAnsi="Century Gothic" w:cs="Tahoma"/>
                <w:b/>
              </w:rPr>
            </w:pPr>
            <w:r w:rsidRPr="00AB2438">
              <w:rPr>
                <w:rFonts w:ascii="Century Gothic" w:hAnsi="Century Gothic" w:cs="Tahoma"/>
                <w:b/>
              </w:rPr>
              <w:t>L</w:t>
            </w:r>
            <w:r w:rsidR="00ED7D19" w:rsidRPr="00AB2438">
              <w:rPr>
                <w:rFonts w:ascii="Century Gothic" w:hAnsi="Century Gothic" w:cs="Tahoma"/>
                <w:b/>
              </w:rPr>
              <w:t>a/L</w:t>
            </w:r>
            <w:r w:rsidRPr="00AB2438">
              <w:rPr>
                <w:rFonts w:ascii="Century Gothic" w:hAnsi="Century Gothic" w:cs="Tahoma"/>
                <w:b/>
              </w:rPr>
              <w:t>e Maire ou l</w:t>
            </w:r>
            <w:r w:rsidR="00ED7D19" w:rsidRPr="00AB2438">
              <w:rPr>
                <w:rFonts w:ascii="Century Gothic" w:hAnsi="Century Gothic" w:cs="Tahoma"/>
                <w:b/>
              </w:rPr>
              <w:t>a/le</w:t>
            </w:r>
            <w:r w:rsidRPr="00AB2438">
              <w:rPr>
                <w:rFonts w:ascii="Century Gothic" w:hAnsi="Century Gothic" w:cs="Tahoma"/>
                <w:b/>
              </w:rPr>
              <w:t xml:space="preserve"> Président</w:t>
            </w:r>
            <w:r w:rsidR="00ED7D19" w:rsidRPr="00AB2438">
              <w:rPr>
                <w:rFonts w:ascii="Century Gothic" w:hAnsi="Century Gothic" w:cs="Tahoma"/>
                <w:b/>
              </w:rPr>
              <w:t>(e)</w:t>
            </w:r>
          </w:p>
          <w:p w14:paraId="1E38B003" w14:textId="77777777" w:rsidR="001F02A4" w:rsidRPr="00AB2438" w:rsidRDefault="001F02A4" w:rsidP="001F02A4">
            <w:pPr>
              <w:jc w:val="center"/>
              <w:rPr>
                <w:rFonts w:ascii="Century Gothic" w:hAnsi="Century Gothic" w:cs="Tahoma"/>
                <w:b/>
              </w:rPr>
            </w:pPr>
          </w:p>
          <w:p w14:paraId="7FC52446" w14:textId="7BC160AB" w:rsidR="001F02A4" w:rsidRPr="00AB2438" w:rsidRDefault="001F02A4" w:rsidP="001F02A4">
            <w:pPr>
              <w:jc w:val="center"/>
              <w:rPr>
                <w:rFonts w:ascii="Century Gothic" w:hAnsi="Century Gothic" w:cs="Tahoma"/>
                <w:b/>
              </w:rPr>
            </w:pPr>
          </w:p>
          <w:p w14:paraId="44A67516" w14:textId="77777777" w:rsidR="00ED7D16" w:rsidRPr="00AB2438" w:rsidRDefault="00ED7D16" w:rsidP="001F02A4">
            <w:pPr>
              <w:jc w:val="center"/>
              <w:rPr>
                <w:rFonts w:ascii="Century Gothic" w:hAnsi="Century Gothic" w:cs="Tahoma"/>
                <w:b/>
              </w:rPr>
            </w:pPr>
          </w:p>
          <w:p w14:paraId="28C103CA" w14:textId="16EE5906" w:rsidR="001F02A4" w:rsidRPr="00AB2438" w:rsidRDefault="00ED7D16" w:rsidP="001F02A4">
            <w:pPr>
              <w:jc w:val="center"/>
              <w:rPr>
                <w:rFonts w:ascii="Century Gothic" w:hAnsi="Century Gothic" w:cs="Tahoma"/>
                <w:b/>
                <w:u w:val="single"/>
              </w:rPr>
            </w:pPr>
            <w:r w:rsidRPr="00AB2438">
              <w:rPr>
                <w:rFonts w:ascii="Century Gothic" w:hAnsi="Century Gothic" w:cs="Tahoma"/>
                <w:b/>
                <w:u w:val="single"/>
              </w:rPr>
              <w:t>Prénom Nom</w:t>
            </w:r>
          </w:p>
        </w:tc>
      </w:tr>
    </w:tbl>
    <w:p w14:paraId="1A30707F" w14:textId="5A292297" w:rsidR="00A36B08" w:rsidRPr="009C5CF9" w:rsidRDefault="00A36B08" w:rsidP="000466D7">
      <w:pPr>
        <w:spacing w:line="240" w:lineRule="auto"/>
        <w:rPr>
          <w:rFonts w:ascii="Century Gothic" w:hAnsi="Century Gothic" w:cs="Tahoma"/>
          <w:b/>
          <w:bCs/>
        </w:rPr>
      </w:pPr>
    </w:p>
    <w:sectPr w:rsidR="00A36B08" w:rsidRPr="009C5CF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D6870" w14:textId="77777777" w:rsidR="006F0B71" w:rsidRDefault="006F0B71" w:rsidP="00782344">
      <w:pPr>
        <w:spacing w:after="0" w:line="240" w:lineRule="auto"/>
      </w:pPr>
      <w:r>
        <w:separator/>
      </w:r>
    </w:p>
  </w:endnote>
  <w:endnote w:type="continuationSeparator" w:id="0">
    <w:p w14:paraId="2AD8BB43" w14:textId="77777777" w:rsidR="006F0B71" w:rsidRDefault="006F0B71" w:rsidP="0078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697561"/>
      <w:docPartObj>
        <w:docPartGallery w:val="Page Numbers (Bottom of Page)"/>
        <w:docPartUnique/>
      </w:docPartObj>
    </w:sdtPr>
    <w:sdtEndPr>
      <w:rPr>
        <w:rFonts w:ascii="Century Gothic" w:hAnsi="Century Gothic"/>
      </w:rPr>
    </w:sdtEndPr>
    <w:sdtContent>
      <w:p w14:paraId="7DFC73BC" w14:textId="11BB9B0C" w:rsidR="00AB2438" w:rsidRPr="00AB2438" w:rsidRDefault="00AB2438">
        <w:pPr>
          <w:pStyle w:val="Pieddepage"/>
          <w:jc w:val="right"/>
          <w:rPr>
            <w:rFonts w:ascii="Century Gothic" w:hAnsi="Century Gothic"/>
          </w:rPr>
        </w:pPr>
        <w:r w:rsidRPr="00AB2438">
          <w:rPr>
            <w:rFonts w:ascii="Century Gothic" w:hAnsi="Century Gothic"/>
          </w:rPr>
          <w:fldChar w:fldCharType="begin"/>
        </w:r>
        <w:r w:rsidRPr="00AB2438">
          <w:rPr>
            <w:rFonts w:ascii="Century Gothic" w:hAnsi="Century Gothic"/>
          </w:rPr>
          <w:instrText>PAGE   \* MERGEFORMAT</w:instrText>
        </w:r>
        <w:r w:rsidRPr="00AB2438">
          <w:rPr>
            <w:rFonts w:ascii="Century Gothic" w:hAnsi="Century Gothic"/>
          </w:rPr>
          <w:fldChar w:fldCharType="separate"/>
        </w:r>
        <w:r w:rsidRPr="00AB2438">
          <w:rPr>
            <w:rFonts w:ascii="Century Gothic" w:hAnsi="Century Gothic"/>
          </w:rPr>
          <w:t>2</w:t>
        </w:r>
        <w:r w:rsidRPr="00AB2438">
          <w:rPr>
            <w:rFonts w:ascii="Century Gothic" w:hAnsi="Century Gothic"/>
          </w:rPr>
          <w:fldChar w:fldCharType="end"/>
        </w:r>
        <w:r w:rsidRPr="00AB2438">
          <w:rPr>
            <w:rFonts w:ascii="Century Gothic" w:hAnsi="Century Gothic"/>
          </w:rPr>
          <w:t>/4</w:t>
        </w:r>
      </w:p>
    </w:sdtContent>
  </w:sdt>
  <w:p w14:paraId="2241354D" w14:textId="77777777" w:rsidR="00AB2438" w:rsidRDefault="00AB24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64C22" w14:textId="77777777" w:rsidR="006F0B71" w:rsidRDefault="006F0B71" w:rsidP="00782344">
      <w:pPr>
        <w:spacing w:after="0" w:line="240" w:lineRule="auto"/>
      </w:pPr>
      <w:r>
        <w:separator/>
      </w:r>
    </w:p>
  </w:footnote>
  <w:footnote w:type="continuationSeparator" w:id="0">
    <w:p w14:paraId="3C2693DA" w14:textId="77777777" w:rsidR="006F0B71" w:rsidRDefault="006F0B71" w:rsidP="00782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AC2"/>
    <w:multiLevelType w:val="hybridMultilevel"/>
    <w:tmpl w:val="E20A32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387F54"/>
    <w:multiLevelType w:val="hybridMultilevel"/>
    <w:tmpl w:val="028E8384"/>
    <w:lvl w:ilvl="0" w:tplc="22C4289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5A2CDC"/>
    <w:multiLevelType w:val="hybridMultilevel"/>
    <w:tmpl w:val="EB0489E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4FD1E6C"/>
    <w:multiLevelType w:val="hybridMultilevel"/>
    <w:tmpl w:val="92EAC4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A444BA"/>
    <w:multiLevelType w:val="hybridMultilevel"/>
    <w:tmpl w:val="CC5CA2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D33244"/>
    <w:multiLevelType w:val="hybridMultilevel"/>
    <w:tmpl w:val="0DEED24A"/>
    <w:lvl w:ilvl="0" w:tplc="CD749B1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774406"/>
    <w:multiLevelType w:val="hybridMultilevel"/>
    <w:tmpl w:val="B07061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F21FD4"/>
    <w:multiLevelType w:val="hybridMultilevel"/>
    <w:tmpl w:val="916A0788"/>
    <w:lvl w:ilvl="0" w:tplc="006CA0E0">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C762EEB"/>
    <w:multiLevelType w:val="hybridMultilevel"/>
    <w:tmpl w:val="44F858C0"/>
    <w:lvl w:ilvl="0" w:tplc="CD749B1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EB2977"/>
    <w:multiLevelType w:val="hybridMultilevel"/>
    <w:tmpl w:val="888243F0"/>
    <w:lvl w:ilvl="0" w:tplc="2ED4C64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55701D"/>
    <w:multiLevelType w:val="hybridMultilevel"/>
    <w:tmpl w:val="95D0B634"/>
    <w:lvl w:ilvl="0" w:tplc="32042D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50746539">
    <w:abstractNumId w:val="8"/>
  </w:num>
  <w:num w:numId="2" w16cid:durableId="1628778941">
    <w:abstractNumId w:val="9"/>
  </w:num>
  <w:num w:numId="3" w16cid:durableId="484273720">
    <w:abstractNumId w:val="6"/>
  </w:num>
  <w:num w:numId="4" w16cid:durableId="1968122982">
    <w:abstractNumId w:val="5"/>
  </w:num>
  <w:num w:numId="5" w16cid:durableId="1245995693">
    <w:abstractNumId w:val="10"/>
  </w:num>
  <w:num w:numId="6" w16cid:durableId="713575459">
    <w:abstractNumId w:val="7"/>
  </w:num>
  <w:num w:numId="7" w16cid:durableId="1728607080">
    <w:abstractNumId w:val="2"/>
  </w:num>
  <w:num w:numId="8" w16cid:durableId="376664039">
    <w:abstractNumId w:val="3"/>
  </w:num>
  <w:num w:numId="9" w16cid:durableId="1979794562">
    <w:abstractNumId w:val="0"/>
  </w:num>
  <w:num w:numId="10" w16cid:durableId="1733428543">
    <w:abstractNumId w:val="4"/>
  </w:num>
  <w:num w:numId="11" w16cid:durableId="691802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C0"/>
    <w:rsid w:val="00037E1D"/>
    <w:rsid w:val="000466D7"/>
    <w:rsid w:val="00062D73"/>
    <w:rsid w:val="000759FD"/>
    <w:rsid w:val="00077603"/>
    <w:rsid w:val="00093A42"/>
    <w:rsid w:val="000A2690"/>
    <w:rsid w:val="000B659E"/>
    <w:rsid w:val="000C60D8"/>
    <w:rsid w:val="000D0627"/>
    <w:rsid w:val="0010351C"/>
    <w:rsid w:val="00106B35"/>
    <w:rsid w:val="001147AF"/>
    <w:rsid w:val="00136029"/>
    <w:rsid w:val="00184BD6"/>
    <w:rsid w:val="0019011F"/>
    <w:rsid w:val="001921C2"/>
    <w:rsid w:val="00192AB6"/>
    <w:rsid w:val="001C64D3"/>
    <w:rsid w:val="001D0425"/>
    <w:rsid w:val="001F02A4"/>
    <w:rsid w:val="00202582"/>
    <w:rsid w:val="00211D45"/>
    <w:rsid w:val="002351D3"/>
    <w:rsid w:val="00243F15"/>
    <w:rsid w:val="00261D5C"/>
    <w:rsid w:val="002634C0"/>
    <w:rsid w:val="002772D1"/>
    <w:rsid w:val="002831CE"/>
    <w:rsid w:val="002B5D88"/>
    <w:rsid w:val="002D3490"/>
    <w:rsid w:val="002D3C3C"/>
    <w:rsid w:val="002D60AC"/>
    <w:rsid w:val="00302246"/>
    <w:rsid w:val="00340784"/>
    <w:rsid w:val="003504A7"/>
    <w:rsid w:val="00375385"/>
    <w:rsid w:val="00397032"/>
    <w:rsid w:val="003E3E02"/>
    <w:rsid w:val="003E6C68"/>
    <w:rsid w:val="00411FBA"/>
    <w:rsid w:val="0042148A"/>
    <w:rsid w:val="00423B47"/>
    <w:rsid w:val="004466C3"/>
    <w:rsid w:val="00461386"/>
    <w:rsid w:val="00462410"/>
    <w:rsid w:val="00485A91"/>
    <w:rsid w:val="00491D38"/>
    <w:rsid w:val="004A4066"/>
    <w:rsid w:val="004B680E"/>
    <w:rsid w:val="004B7D45"/>
    <w:rsid w:val="004E38E9"/>
    <w:rsid w:val="004E6877"/>
    <w:rsid w:val="004F045D"/>
    <w:rsid w:val="00503A75"/>
    <w:rsid w:val="005164E1"/>
    <w:rsid w:val="005243F6"/>
    <w:rsid w:val="00524769"/>
    <w:rsid w:val="00524D8A"/>
    <w:rsid w:val="00561514"/>
    <w:rsid w:val="005858EC"/>
    <w:rsid w:val="00595B5C"/>
    <w:rsid w:val="00597348"/>
    <w:rsid w:val="005A1247"/>
    <w:rsid w:val="005A2D68"/>
    <w:rsid w:val="005A7391"/>
    <w:rsid w:val="005C23DA"/>
    <w:rsid w:val="005E3B0A"/>
    <w:rsid w:val="005E596E"/>
    <w:rsid w:val="00600F11"/>
    <w:rsid w:val="00606C99"/>
    <w:rsid w:val="00610A84"/>
    <w:rsid w:val="0061746C"/>
    <w:rsid w:val="00626CA0"/>
    <w:rsid w:val="00656720"/>
    <w:rsid w:val="00662AE5"/>
    <w:rsid w:val="00670030"/>
    <w:rsid w:val="00671BF2"/>
    <w:rsid w:val="00684431"/>
    <w:rsid w:val="006A568F"/>
    <w:rsid w:val="006B3B12"/>
    <w:rsid w:val="006C11E2"/>
    <w:rsid w:val="006C34DB"/>
    <w:rsid w:val="006D68CA"/>
    <w:rsid w:val="006F0B71"/>
    <w:rsid w:val="00700C74"/>
    <w:rsid w:val="00707127"/>
    <w:rsid w:val="0071077B"/>
    <w:rsid w:val="00721A51"/>
    <w:rsid w:val="007406F3"/>
    <w:rsid w:val="00771F4C"/>
    <w:rsid w:val="00782344"/>
    <w:rsid w:val="0078496F"/>
    <w:rsid w:val="007B3D61"/>
    <w:rsid w:val="007F0F72"/>
    <w:rsid w:val="00825482"/>
    <w:rsid w:val="00830E82"/>
    <w:rsid w:val="008409CD"/>
    <w:rsid w:val="00851516"/>
    <w:rsid w:val="0086338B"/>
    <w:rsid w:val="00877676"/>
    <w:rsid w:val="008B05E4"/>
    <w:rsid w:val="008B197D"/>
    <w:rsid w:val="008C1FA4"/>
    <w:rsid w:val="008C4071"/>
    <w:rsid w:val="008C76EF"/>
    <w:rsid w:val="008D0301"/>
    <w:rsid w:val="008E1FFC"/>
    <w:rsid w:val="009248FC"/>
    <w:rsid w:val="00930CB5"/>
    <w:rsid w:val="009C5CF9"/>
    <w:rsid w:val="009F192B"/>
    <w:rsid w:val="009F70C0"/>
    <w:rsid w:val="00A36B08"/>
    <w:rsid w:val="00A42BB1"/>
    <w:rsid w:val="00A436E5"/>
    <w:rsid w:val="00A45A29"/>
    <w:rsid w:val="00A6242F"/>
    <w:rsid w:val="00A62CA3"/>
    <w:rsid w:val="00A8453E"/>
    <w:rsid w:val="00AA39FD"/>
    <w:rsid w:val="00AA6992"/>
    <w:rsid w:val="00AB2438"/>
    <w:rsid w:val="00AC5FBE"/>
    <w:rsid w:val="00AE3C9C"/>
    <w:rsid w:val="00B034D8"/>
    <w:rsid w:val="00B1571B"/>
    <w:rsid w:val="00B17FF0"/>
    <w:rsid w:val="00B249C9"/>
    <w:rsid w:val="00B264CE"/>
    <w:rsid w:val="00B35CFC"/>
    <w:rsid w:val="00B55595"/>
    <w:rsid w:val="00B61031"/>
    <w:rsid w:val="00B65EF5"/>
    <w:rsid w:val="00B66B11"/>
    <w:rsid w:val="00B750B2"/>
    <w:rsid w:val="00BD55A0"/>
    <w:rsid w:val="00BF22F3"/>
    <w:rsid w:val="00BF2C45"/>
    <w:rsid w:val="00C41911"/>
    <w:rsid w:val="00C75821"/>
    <w:rsid w:val="00C76073"/>
    <w:rsid w:val="00C82A76"/>
    <w:rsid w:val="00C8764A"/>
    <w:rsid w:val="00C951AA"/>
    <w:rsid w:val="00CA070A"/>
    <w:rsid w:val="00CD2668"/>
    <w:rsid w:val="00D02AC4"/>
    <w:rsid w:val="00D256EF"/>
    <w:rsid w:val="00D4464D"/>
    <w:rsid w:val="00D451D5"/>
    <w:rsid w:val="00D7142C"/>
    <w:rsid w:val="00DA4EDF"/>
    <w:rsid w:val="00DA5AAD"/>
    <w:rsid w:val="00DB0E9A"/>
    <w:rsid w:val="00DB6751"/>
    <w:rsid w:val="00DD70C4"/>
    <w:rsid w:val="00DF3BD6"/>
    <w:rsid w:val="00DF6EA5"/>
    <w:rsid w:val="00E04659"/>
    <w:rsid w:val="00E10E2E"/>
    <w:rsid w:val="00E1743A"/>
    <w:rsid w:val="00E21E91"/>
    <w:rsid w:val="00E85378"/>
    <w:rsid w:val="00E97E9D"/>
    <w:rsid w:val="00EA73A6"/>
    <w:rsid w:val="00EC208E"/>
    <w:rsid w:val="00ED65D1"/>
    <w:rsid w:val="00ED7D16"/>
    <w:rsid w:val="00ED7D19"/>
    <w:rsid w:val="00EE54A7"/>
    <w:rsid w:val="00EE77B7"/>
    <w:rsid w:val="00F123B2"/>
    <w:rsid w:val="00F1466A"/>
    <w:rsid w:val="00F443E4"/>
    <w:rsid w:val="00F7776A"/>
    <w:rsid w:val="00F878A6"/>
    <w:rsid w:val="00FA70B6"/>
    <w:rsid w:val="00FC6CE5"/>
    <w:rsid w:val="00FF17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15FE"/>
  <w15:docId w15:val="{0C52FF1C-206A-4E80-9EF8-546A3994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23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344"/>
    <w:rPr>
      <w:rFonts w:ascii="Tahoma" w:hAnsi="Tahoma" w:cs="Tahoma"/>
      <w:sz w:val="16"/>
      <w:szCs w:val="16"/>
    </w:rPr>
  </w:style>
  <w:style w:type="paragraph" w:styleId="En-tte">
    <w:name w:val="header"/>
    <w:basedOn w:val="Normal"/>
    <w:link w:val="En-tteCar"/>
    <w:uiPriority w:val="99"/>
    <w:unhideWhenUsed/>
    <w:rsid w:val="00782344"/>
    <w:pPr>
      <w:tabs>
        <w:tab w:val="center" w:pos="4536"/>
        <w:tab w:val="right" w:pos="9072"/>
      </w:tabs>
      <w:spacing w:after="0" w:line="240" w:lineRule="auto"/>
    </w:pPr>
  </w:style>
  <w:style w:type="character" w:customStyle="1" w:styleId="En-tteCar">
    <w:name w:val="En-tête Car"/>
    <w:basedOn w:val="Policepardfaut"/>
    <w:link w:val="En-tte"/>
    <w:uiPriority w:val="99"/>
    <w:rsid w:val="00782344"/>
  </w:style>
  <w:style w:type="paragraph" w:styleId="Pieddepage">
    <w:name w:val="footer"/>
    <w:basedOn w:val="Normal"/>
    <w:link w:val="PieddepageCar"/>
    <w:uiPriority w:val="99"/>
    <w:unhideWhenUsed/>
    <w:rsid w:val="007823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2344"/>
  </w:style>
  <w:style w:type="paragraph" w:styleId="Paragraphedeliste">
    <w:name w:val="List Paragraph"/>
    <w:basedOn w:val="Normal"/>
    <w:uiPriority w:val="34"/>
    <w:rsid w:val="00B264CE"/>
    <w:pPr>
      <w:ind w:left="720"/>
      <w:contextualSpacing/>
    </w:pPr>
  </w:style>
  <w:style w:type="table" w:styleId="Grilledutableau">
    <w:name w:val="Table Grid"/>
    <w:basedOn w:val="TableauNormal"/>
    <w:uiPriority w:val="59"/>
    <w:rsid w:val="001F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11FBA"/>
    <w:pPr>
      <w:spacing w:after="0" w:line="240" w:lineRule="auto"/>
    </w:pPr>
  </w:style>
  <w:style w:type="character" w:styleId="Marquedecommentaire">
    <w:name w:val="annotation reference"/>
    <w:basedOn w:val="Policepardfaut"/>
    <w:uiPriority w:val="99"/>
    <w:semiHidden/>
    <w:unhideWhenUsed/>
    <w:rsid w:val="00CD2668"/>
    <w:rPr>
      <w:sz w:val="16"/>
      <w:szCs w:val="16"/>
    </w:rPr>
  </w:style>
  <w:style w:type="paragraph" w:styleId="Commentaire">
    <w:name w:val="annotation text"/>
    <w:basedOn w:val="Normal"/>
    <w:link w:val="CommentaireCar"/>
    <w:uiPriority w:val="99"/>
    <w:semiHidden/>
    <w:unhideWhenUsed/>
    <w:rsid w:val="00CD2668"/>
    <w:pPr>
      <w:spacing w:line="240" w:lineRule="auto"/>
    </w:pPr>
    <w:rPr>
      <w:sz w:val="20"/>
      <w:szCs w:val="20"/>
    </w:rPr>
  </w:style>
  <w:style w:type="character" w:customStyle="1" w:styleId="CommentaireCar">
    <w:name w:val="Commentaire Car"/>
    <w:basedOn w:val="Policepardfaut"/>
    <w:link w:val="Commentaire"/>
    <w:uiPriority w:val="99"/>
    <w:semiHidden/>
    <w:rsid w:val="00CD2668"/>
    <w:rPr>
      <w:sz w:val="20"/>
      <w:szCs w:val="20"/>
    </w:rPr>
  </w:style>
  <w:style w:type="paragraph" w:styleId="Objetducommentaire">
    <w:name w:val="annotation subject"/>
    <w:basedOn w:val="Commentaire"/>
    <w:next w:val="Commentaire"/>
    <w:link w:val="ObjetducommentaireCar"/>
    <w:uiPriority w:val="99"/>
    <w:semiHidden/>
    <w:unhideWhenUsed/>
    <w:rsid w:val="00CD2668"/>
    <w:rPr>
      <w:b/>
      <w:bCs/>
    </w:rPr>
  </w:style>
  <w:style w:type="character" w:customStyle="1" w:styleId="ObjetducommentaireCar">
    <w:name w:val="Objet du commentaire Car"/>
    <w:basedOn w:val="CommentaireCar"/>
    <w:link w:val="Objetducommentaire"/>
    <w:uiPriority w:val="99"/>
    <w:semiHidden/>
    <w:rsid w:val="00CD2668"/>
    <w:rPr>
      <w:b/>
      <w:bCs/>
      <w:sz w:val="20"/>
      <w:szCs w:val="20"/>
    </w:rPr>
  </w:style>
  <w:style w:type="paragraph" w:customStyle="1" w:styleId="Chapitre">
    <w:name w:val="Chapitre"/>
    <w:basedOn w:val="Normal"/>
    <w:qFormat/>
    <w:rsid w:val="00B65EF5"/>
    <w:pPr>
      <w:autoSpaceDE w:val="0"/>
      <w:autoSpaceDN w:val="0"/>
      <w:adjustRightInd w:val="0"/>
      <w:spacing w:before="480" w:after="240" w:line="240" w:lineRule="auto"/>
      <w:jc w:val="center"/>
    </w:pPr>
    <w:rPr>
      <w:rFonts w:ascii="Tahoma" w:hAnsi="Tahoma" w:cs="Tahoma"/>
      <w:b/>
      <w:bCs/>
      <w:sz w:val="24"/>
      <w:szCs w:val="24"/>
      <w:u w:val="single"/>
    </w:rPr>
  </w:style>
  <w:style w:type="paragraph" w:customStyle="1" w:styleId="Texte">
    <w:name w:val="Texte"/>
    <w:basedOn w:val="Normal"/>
    <w:qFormat/>
    <w:rsid w:val="00B65EF5"/>
    <w:pPr>
      <w:autoSpaceDE w:val="0"/>
      <w:autoSpaceDN w:val="0"/>
      <w:adjustRightInd w:val="0"/>
      <w:spacing w:before="120" w:after="0" w:line="240" w:lineRule="auto"/>
      <w:jc w:val="both"/>
    </w:pPr>
    <w:rPr>
      <w:rFonts w:ascii="Tahoma" w:hAnsi="Tahoma" w:cs="Tahoma"/>
      <w:sz w:val="20"/>
      <w:szCs w:val="20"/>
    </w:rPr>
  </w:style>
  <w:style w:type="paragraph" w:customStyle="1" w:styleId="Section">
    <w:name w:val="Section"/>
    <w:basedOn w:val="Normal"/>
    <w:qFormat/>
    <w:rsid w:val="00E10E2E"/>
    <w:pPr>
      <w:autoSpaceDE w:val="0"/>
      <w:autoSpaceDN w:val="0"/>
      <w:adjustRightInd w:val="0"/>
      <w:spacing w:before="480" w:after="240" w:line="240" w:lineRule="auto"/>
      <w:jc w:val="center"/>
    </w:pPr>
    <w:rPr>
      <w:rFonts w:ascii="Tahoma" w:hAnsi="Tahoma" w:cs="Tahoma"/>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3A54D-423C-4D19-938A-FBF7A37E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6788</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CDG43</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Juriste</dc:creator>
  <cp:lastModifiedBy>Elodie CONTENTIN</cp:lastModifiedBy>
  <cp:revision>2</cp:revision>
  <cp:lastPrinted>2023-05-04T09:21:00Z</cp:lastPrinted>
  <dcterms:created xsi:type="dcterms:W3CDTF">2023-06-02T12:14:00Z</dcterms:created>
  <dcterms:modified xsi:type="dcterms:W3CDTF">2023-06-02T12:14:00Z</dcterms:modified>
</cp:coreProperties>
</file>