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E4CC" w14:textId="77777777" w:rsidR="005A4DD2" w:rsidRDefault="00E33C19" w:rsidP="005A4DD2">
      <w:pPr>
        <w:ind w:left="-709" w:right="3260"/>
        <w:jc w:val="center"/>
        <w:rPr>
          <w:rFonts w:ascii="Century Gothic" w:hAnsi="Century Gothic"/>
          <w:b/>
          <w:noProof/>
          <w:color w:val="FFFFFF" w:themeColor="background1"/>
          <w:sz w:val="40"/>
          <w:lang w:val="en-US" w:eastAsia="zh-CN"/>
        </w:rPr>
      </w:pPr>
      <w:r w:rsidRPr="00E52FA2">
        <w:rPr>
          <w:noProof/>
          <w:sz w:val="40"/>
          <w:lang w:val="en-US" w:eastAsia="zh-CN"/>
        </w:rPr>
        <mc:AlternateContent>
          <mc:Choice Requires="wps">
            <w:drawing>
              <wp:anchor distT="0" distB="0" distL="114300" distR="114300" simplePos="0" relativeHeight="251661312" behindDoc="1" locked="0" layoutInCell="1" allowOverlap="1" wp14:anchorId="1CCB6F72" wp14:editId="437F3C42">
                <wp:simplePos x="0" y="0"/>
                <wp:positionH relativeFrom="column">
                  <wp:posOffset>-890270</wp:posOffset>
                </wp:positionH>
                <wp:positionV relativeFrom="paragraph">
                  <wp:posOffset>-460375</wp:posOffset>
                </wp:positionV>
                <wp:extent cx="7559675" cy="1657350"/>
                <wp:effectExtent l="0" t="0" r="22225" b="19050"/>
                <wp:wrapNone/>
                <wp:docPr id="2" name="Rectangle 2"/>
                <wp:cNvGraphicFramePr/>
                <a:graphic xmlns:a="http://schemas.openxmlformats.org/drawingml/2006/main">
                  <a:graphicData uri="http://schemas.microsoft.com/office/word/2010/wordprocessingShape">
                    <wps:wsp>
                      <wps:cNvSpPr/>
                      <wps:spPr>
                        <a:xfrm>
                          <a:off x="0" y="0"/>
                          <a:ext cx="7559675" cy="16573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AA7E1" id="Rectangle 2" o:spid="_x0000_s1026" style="position:absolute;margin-left:-70.1pt;margin-top:-36.25pt;width:595.2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" fillcolor="#62386a [3206]" strokecolor="#671d2a [1604]" strokeweight="1pt"/>
            </w:pict>
          </mc:Fallback>
        </mc:AlternateContent>
      </w:r>
      <w:r w:rsidRPr="00E52FA2">
        <w:rPr>
          <w:noProof/>
          <w:sz w:val="40"/>
          <w:lang w:val="en-US" w:eastAsia="zh-CN"/>
        </w:rPr>
        <w:drawing>
          <wp:anchor distT="0" distB="0" distL="114300" distR="114300" simplePos="0" relativeHeight="251660288" behindDoc="0" locked="0" layoutInCell="1" allowOverlap="1" wp14:anchorId="033793A3" wp14:editId="0C1B1EA8">
            <wp:simplePos x="0" y="0"/>
            <wp:positionH relativeFrom="column">
              <wp:posOffset>3748405</wp:posOffset>
            </wp:positionH>
            <wp:positionV relativeFrom="paragraph">
              <wp:posOffset>-150333</wp:posOffset>
            </wp:positionV>
            <wp:extent cx="2782570" cy="1240155"/>
            <wp:effectExtent l="0" t="0" r="0" b="0"/>
            <wp:wrapNone/>
            <wp:docPr id="1" name="Image 1" descr="Une image contenant texte,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50 OK DÉFONCE 2212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570" cy="1240155"/>
                    </a:xfrm>
                    <a:prstGeom prst="rect">
                      <a:avLst/>
                    </a:prstGeom>
                  </pic:spPr>
                </pic:pic>
              </a:graphicData>
            </a:graphic>
            <wp14:sizeRelH relativeFrom="page">
              <wp14:pctWidth>0</wp14:pctWidth>
            </wp14:sizeRelH>
            <wp14:sizeRelV relativeFrom="page">
              <wp14:pctHeight>0</wp14:pctHeight>
            </wp14:sizeRelV>
          </wp:anchor>
        </w:drawing>
      </w:r>
      <w:r w:rsidR="00B32E3D" w:rsidRPr="00E52FA2">
        <w:rPr>
          <w:rFonts w:ascii="Century Gothic" w:hAnsi="Century Gothic"/>
          <w:b/>
          <w:noProof/>
          <w:color w:val="FFFFFF" w:themeColor="background1"/>
          <w:sz w:val="56"/>
          <w:lang w:val="en-US" w:eastAsia="zh-CN"/>
        </w:rPr>
        <w:t>RÈGLEMENT INTÉRIEUR</w:t>
      </w:r>
    </w:p>
    <w:p w14:paraId="2A73500F" w14:textId="6BE35AB1" w:rsidR="000A76E9" w:rsidRPr="005A4DD2" w:rsidRDefault="005A4DD2" w:rsidP="005A4DD2">
      <w:pPr>
        <w:ind w:left="-709" w:right="3260"/>
        <w:jc w:val="center"/>
        <w:rPr>
          <w:rFonts w:ascii="Century Gothic" w:hAnsi="Century Gothic"/>
          <w:b/>
          <w:noProof/>
          <w:color w:val="FFFFFF" w:themeColor="background1"/>
          <w:sz w:val="40"/>
          <w:lang w:val="en-US" w:eastAsia="zh-CN"/>
        </w:rPr>
      </w:pPr>
      <w:r w:rsidRPr="005A4DD2">
        <w:rPr>
          <w:rFonts w:ascii="Century Gothic" w:hAnsi="Century Gothic"/>
          <w:i/>
          <w:noProof/>
          <w:color w:val="FFFFFF" w:themeColor="background1"/>
          <w:sz w:val="24"/>
          <w:lang w:val="en-US" w:eastAsia="zh-CN"/>
        </w:rPr>
        <w:t xml:space="preserve">MAJ </w:t>
      </w:r>
      <w:r w:rsidR="00B32E3D" w:rsidRPr="005A4DD2">
        <w:rPr>
          <w:rFonts w:ascii="Century Gothic" w:hAnsi="Century Gothic"/>
          <w:i/>
          <w:noProof/>
          <w:color w:val="FFFFFF" w:themeColor="background1"/>
          <w:sz w:val="24"/>
          <w:lang w:val="en-US" w:eastAsia="zh-CN"/>
        </w:rPr>
        <w:t xml:space="preserve"> 202</w:t>
      </w:r>
      <w:r w:rsidR="00DD71DF">
        <w:rPr>
          <w:rFonts w:ascii="Century Gothic" w:hAnsi="Century Gothic"/>
          <w:i/>
          <w:noProof/>
          <w:color w:val="FFFFFF" w:themeColor="background1"/>
          <w:sz w:val="24"/>
          <w:lang w:val="en-US" w:eastAsia="zh-CN"/>
        </w:rPr>
        <w:t>3</w:t>
      </w:r>
    </w:p>
    <w:p w14:paraId="24D3234C" w14:textId="77777777" w:rsidR="005A4DD2" w:rsidRDefault="005A4DD2" w:rsidP="00E33C19">
      <w:pPr>
        <w:spacing w:after="0" w:line="360" w:lineRule="auto"/>
        <w:ind w:right="3260"/>
        <w:jc w:val="center"/>
        <w:rPr>
          <w:rFonts w:ascii="Century Gothic" w:hAnsi="Century Gothic"/>
          <w:i/>
          <w:noProof/>
          <w:color w:val="FFFFFF" w:themeColor="background1"/>
          <w:lang w:val="en-US" w:eastAsia="zh-CN"/>
        </w:rPr>
      </w:pPr>
    </w:p>
    <w:p w14:paraId="52FDD7E6" w14:textId="77777777" w:rsidR="00E33C19" w:rsidRDefault="00E33C19" w:rsidP="00E33C19">
      <w:pPr>
        <w:pStyle w:val="Titre"/>
        <w:spacing w:line="240" w:lineRule="auto"/>
        <w:jc w:val="center"/>
      </w:pPr>
    </w:p>
    <w:p w14:paraId="6F5082B8" w14:textId="77777777" w:rsidR="005A4DD2" w:rsidRPr="005A4DD2" w:rsidRDefault="005A4DD2" w:rsidP="00E33C19">
      <w:pPr>
        <w:pStyle w:val="Titre"/>
        <w:spacing w:line="240" w:lineRule="auto"/>
        <w:jc w:val="center"/>
      </w:pPr>
      <w:r w:rsidRPr="005A4DD2">
        <w:t>SERVICE DE MÉDECINE PRÉVENTIVE</w:t>
      </w:r>
    </w:p>
    <w:p w14:paraId="7EB3C9D2" w14:textId="77777777" w:rsidR="005A4DD2" w:rsidRDefault="005A4DD2" w:rsidP="000912D9">
      <w:pPr>
        <w:pStyle w:val="Titre"/>
        <w:jc w:val="center"/>
        <w:rPr>
          <w:caps w:val="0"/>
          <w:sz w:val="32"/>
        </w:rPr>
      </w:pPr>
      <w:r w:rsidRPr="005A4DD2">
        <w:rPr>
          <w:caps w:val="0"/>
          <w:sz w:val="32"/>
        </w:rPr>
        <w:t>Dispositions législatives et règlementaires</w:t>
      </w:r>
    </w:p>
    <w:p w14:paraId="52527C97" w14:textId="77777777" w:rsidR="00E33C19" w:rsidRPr="003E154B" w:rsidRDefault="00E33C19" w:rsidP="00E33C19">
      <w:pPr>
        <w:rPr>
          <w:sz w:val="10"/>
          <w:szCs w:val="10"/>
        </w:rPr>
      </w:pPr>
    </w:p>
    <w:p w14:paraId="41829E13" w14:textId="77777777" w:rsidR="005A4DD2" w:rsidRPr="00C906C4" w:rsidRDefault="005A4DD2" w:rsidP="005A4DD2">
      <w:pPr>
        <w:pStyle w:val="Titre3"/>
      </w:pPr>
      <w:r>
        <w:t>Article 1</w:t>
      </w:r>
    </w:p>
    <w:p w14:paraId="4AF703FC"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 service de médecine préventive exerce ses missions dans le cadre :</w:t>
      </w:r>
    </w:p>
    <w:p w14:paraId="0160C686" w14:textId="482E1A67" w:rsidR="000912D9" w:rsidRDefault="00DD71DF" w:rsidP="000912D9">
      <w:pPr>
        <w:pStyle w:val="Sansinterligne"/>
        <w:numPr>
          <w:ilvl w:val="0"/>
          <w:numId w:val="1"/>
        </w:numPr>
        <w:spacing w:before="120" w:after="120"/>
        <w:ind w:left="714" w:hanging="357"/>
        <w:jc w:val="both"/>
        <w:rPr>
          <w:rFonts w:ascii="Tahoma" w:hAnsi="Tahoma" w:cs="Tahoma"/>
          <w:sz w:val="22"/>
          <w:szCs w:val="22"/>
        </w:rPr>
      </w:pPr>
      <w:proofErr w:type="gramStart"/>
      <w:r>
        <w:rPr>
          <w:rFonts w:ascii="Tahoma" w:hAnsi="Tahoma" w:cs="Tahoma"/>
          <w:sz w:val="22"/>
          <w:szCs w:val="22"/>
        </w:rPr>
        <w:t>d</w:t>
      </w:r>
      <w:r w:rsidRPr="00DD71DF">
        <w:rPr>
          <w:rFonts w:ascii="Tahoma" w:hAnsi="Tahoma" w:cs="Tahoma"/>
          <w:sz w:val="22"/>
          <w:szCs w:val="22"/>
        </w:rPr>
        <w:t>u</w:t>
      </w:r>
      <w:proofErr w:type="gramEnd"/>
      <w:r w:rsidRPr="00DD71DF">
        <w:rPr>
          <w:rFonts w:ascii="Tahoma" w:hAnsi="Tahoma" w:cs="Tahoma"/>
          <w:sz w:val="22"/>
          <w:szCs w:val="22"/>
        </w:rPr>
        <w:t xml:space="preserve"> </w:t>
      </w:r>
      <w:r w:rsidRPr="00DD71DF">
        <w:rPr>
          <w:rFonts w:ascii="Tahoma" w:hAnsi="Tahoma" w:cs="Tahoma"/>
          <w:sz w:val="22"/>
          <w:szCs w:val="22"/>
        </w:rPr>
        <w:t xml:space="preserve">Code général de la fonction publique </w:t>
      </w:r>
    </w:p>
    <w:p w14:paraId="59BAF637" w14:textId="77777777" w:rsidR="000912D9" w:rsidRDefault="005A4DD2" w:rsidP="000912D9">
      <w:pPr>
        <w:pStyle w:val="Sansinterligne"/>
        <w:numPr>
          <w:ilvl w:val="0"/>
          <w:numId w:val="1"/>
        </w:numPr>
        <w:spacing w:before="120" w:after="120"/>
        <w:ind w:left="714" w:hanging="357"/>
        <w:jc w:val="both"/>
        <w:rPr>
          <w:rFonts w:ascii="Tahoma" w:hAnsi="Tahoma" w:cs="Tahoma"/>
          <w:sz w:val="22"/>
          <w:szCs w:val="22"/>
        </w:rPr>
      </w:pPr>
      <w:proofErr w:type="gramStart"/>
      <w:r w:rsidRPr="000912D9">
        <w:rPr>
          <w:rFonts w:ascii="Tahoma" w:hAnsi="Tahoma" w:cs="Tahoma"/>
          <w:sz w:val="22"/>
          <w:szCs w:val="22"/>
        </w:rPr>
        <w:t>du</w:t>
      </w:r>
      <w:proofErr w:type="gramEnd"/>
      <w:r w:rsidRPr="000912D9">
        <w:rPr>
          <w:rFonts w:ascii="Tahoma" w:hAnsi="Tahoma" w:cs="Tahoma"/>
          <w:sz w:val="22"/>
          <w:szCs w:val="22"/>
        </w:rPr>
        <w:t xml:space="preserve"> décret n° 85-603 du 10 juin 1985 modifié, relatif à l’hygiène et à la sécurité du travail ainsi qu’à la médecine préventive dans la Fonction Publique Territoriale ;</w:t>
      </w:r>
    </w:p>
    <w:p w14:paraId="74848BC5" w14:textId="77777777" w:rsidR="000912D9" w:rsidRDefault="005A4DD2" w:rsidP="000912D9">
      <w:pPr>
        <w:pStyle w:val="Sansinterligne"/>
        <w:numPr>
          <w:ilvl w:val="0"/>
          <w:numId w:val="1"/>
        </w:numPr>
        <w:spacing w:before="120" w:after="120"/>
        <w:ind w:left="714" w:hanging="357"/>
        <w:jc w:val="both"/>
        <w:rPr>
          <w:rFonts w:ascii="Tahoma" w:hAnsi="Tahoma" w:cs="Tahoma"/>
          <w:sz w:val="22"/>
          <w:szCs w:val="22"/>
        </w:rPr>
      </w:pPr>
      <w:r w:rsidRPr="000912D9">
        <w:rPr>
          <w:rFonts w:ascii="Tahoma" w:hAnsi="Tahoma" w:cs="Tahoma"/>
          <w:sz w:val="22"/>
          <w:szCs w:val="22"/>
        </w:rPr>
        <w:t>du décret n° 82-453 du 28 mai 1982 modifié, relatif à l’hygiène et à la sécurité du travail ainsi qu’à la prévention médicale dans la Fonction Publique ;</w:t>
      </w:r>
    </w:p>
    <w:p w14:paraId="1BF30512" w14:textId="77777777" w:rsidR="005A4DD2" w:rsidRDefault="005A4DD2" w:rsidP="000912D9">
      <w:pPr>
        <w:pStyle w:val="Sansinterligne"/>
        <w:numPr>
          <w:ilvl w:val="0"/>
          <w:numId w:val="1"/>
        </w:numPr>
        <w:spacing w:before="120" w:after="120"/>
        <w:ind w:left="714" w:hanging="357"/>
        <w:jc w:val="both"/>
        <w:rPr>
          <w:rFonts w:ascii="Tahoma" w:hAnsi="Tahoma" w:cs="Tahoma"/>
          <w:sz w:val="22"/>
          <w:szCs w:val="22"/>
        </w:rPr>
      </w:pPr>
      <w:proofErr w:type="gramStart"/>
      <w:r w:rsidRPr="000912D9">
        <w:rPr>
          <w:rFonts w:ascii="Tahoma" w:hAnsi="Tahoma" w:cs="Tahoma"/>
          <w:sz w:val="22"/>
          <w:szCs w:val="22"/>
        </w:rPr>
        <w:t>de</w:t>
      </w:r>
      <w:proofErr w:type="gramEnd"/>
      <w:r w:rsidRPr="000912D9">
        <w:rPr>
          <w:rFonts w:ascii="Tahoma" w:hAnsi="Tahoma" w:cs="Tahoma"/>
          <w:sz w:val="22"/>
          <w:szCs w:val="22"/>
        </w:rPr>
        <w:t xml:space="preserve"> la délibération n° 04-22 du Conseil d’Administration en date du 8 juin 2004 adoptant le principe de la mise en place de ce service par le Centre de Gestion.</w:t>
      </w:r>
    </w:p>
    <w:p w14:paraId="14088664" w14:textId="77777777" w:rsidR="003E154B" w:rsidRPr="003E154B" w:rsidRDefault="003E154B" w:rsidP="003E154B">
      <w:pPr>
        <w:pStyle w:val="Sansinterligne"/>
        <w:spacing w:before="120" w:after="120"/>
        <w:ind w:left="357"/>
        <w:jc w:val="both"/>
        <w:rPr>
          <w:rFonts w:ascii="Tahoma" w:hAnsi="Tahoma" w:cs="Tahoma"/>
          <w:sz w:val="10"/>
          <w:szCs w:val="10"/>
        </w:rPr>
      </w:pPr>
    </w:p>
    <w:p w14:paraId="55164ACB" w14:textId="77777777" w:rsidR="005A4DD2" w:rsidRPr="005A4DD2" w:rsidRDefault="005A4DD2" w:rsidP="000912D9">
      <w:pPr>
        <w:pStyle w:val="Titre3"/>
      </w:pPr>
      <w:r w:rsidRPr="005A4DD2">
        <w:t>ARTICLE 2</w:t>
      </w:r>
    </w:p>
    <w:p w14:paraId="534043FB" w14:textId="6C4F687A" w:rsid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 xml:space="preserve">Conformément à l’article </w:t>
      </w:r>
      <w:r w:rsidR="002D5366">
        <w:rPr>
          <w:rFonts w:ascii="Tahoma" w:hAnsi="Tahoma" w:cs="Tahoma"/>
          <w:sz w:val="22"/>
          <w:szCs w:val="22"/>
        </w:rPr>
        <w:t>L812-3 du Code général de la fonction publique, les collectivités et établissements publi</w:t>
      </w:r>
      <w:r w:rsidR="00653ABC">
        <w:rPr>
          <w:rFonts w:ascii="Tahoma" w:hAnsi="Tahoma" w:cs="Tahoma"/>
          <w:sz w:val="22"/>
          <w:szCs w:val="22"/>
        </w:rPr>
        <w:t>c</w:t>
      </w:r>
      <w:r w:rsidR="002D5366">
        <w:rPr>
          <w:rFonts w:ascii="Tahoma" w:hAnsi="Tahoma" w:cs="Tahoma"/>
          <w:sz w:val="22"/>
          <w:szCs w:val="22"/>
        </w:rPr>
        <w:t xml:space="preserve">s doivent disposer d’un service de médecine préventive. </w:t>
      </w:r>
    </w:p>
    <w:p w14:paraId="27BB68A9" w14:textId="77777777" w:rsidR="003E154B" w:rsidRPr="003E154B" w:rsidRDefault="003E154B" w:rsidP="005A4DD2">
      <w:pPr>
        <w:pStyle w:val="Sansinterligne"/>
        <w:spacing w:before="120" w:after="200"/>
        <w:jc w:val="both"/>
        <w:rPr>
          <w:rFonts w:ascii="Tahoma" w:hAnsi="Tahoma" w:cs="Tahoma"/>
          <w:sz w:val="10"/>
          <w:szCs w:val="10"/>
        </w:rPr>
      </w:pPr>
    </w:p>
    <w:p w14:paraId="637CE626" w14:textId="77777777" w:rsidR="000912D9" w:rsidRDefault="005A4DD2" w:rsidP="000912D9">
      <w:pPr>
        <w:pStyle w:val="Titre3"/>
      </w:pPr>
      <w:r w:rsidRPr="005A4DD2">
        <w:t>ARTICLE 3</w:t>
      </w:r>
    </w:p>
    <w:p w14:paraId="49962435" w14:textId="77777777" w:rsidR="005A4DD2" w:rsidRPr="000912D9" w:rsidRDefault="005A4DD2" w:rsidP="00AE0435">
      <w:pPr>
        <w:pStyle w:val="Titre4"/>
        <w:spacing w:before="0"/>
      </w:pPr>
      <w:r w:rsidRPr="000912D9">
        <w:t>Adhésions</w:t>
      </w:r>
    </w:p>
    <w:p w14:paraId="1FF7EE61" w14:textId="3438DAA1"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Peuvent adhérer au service de médecine préventive</w:t>
      </w:r>
      <w:r w:rsidR="002D5366">
        <w:rPr>
          <w:rFonts w:ascii="Tahoma" w:hAnsi="Tahoma" w:cs="Tahoma"/>
          <w:sz w:val="22"/>
          <w:szCs w:val="22"/>
        </w:rPr>
        <w:t xml:space="preserve"> du Centre </w:t>
      </w:r>
      <w:r w:rsidR="003E154B">
        <w:rPr>
          <w:rFonts w:ascii="Tahoma" w:hAnsi="Tahoma" w:cs="Tahoma"/>
          <w:sz w:val="22"/>
          <w:szCs w:val="22"/>
        </w:rPr>
        <w:t xml:space="preserve">Départemental </w:t>
      </w:r>
      <w:r w:rsidR="002D5366">
        <w:rPr>
          <w:rFonts w:ascii="Tahoma" w:hAnsi="Tahoma" w:cs="Tahoma"/>
          <w:sz w:val="22"/>
          <w:szCs w:val="22"/>
        </w:rPr>
        <w:t xml:space="preserve">de </w:t>
      </w:r>
      <w:r w:rsidR="003E154B">
        <w:rPr>
          <w:rFonts w:ascii="Tahoma" w:hAnsi="Tahoma" w:cs="Tahoma"/>
          <w:sz w:val="22"/>
          <w:szCs w:val="22"/>
        </w:rPr>
        <w:t>Gestion</w:t>
      </w:r>
      <w:r w:rsidRPr="005A4DD2">
        <w:rPr>
          <w:rFonts w:ascii="Tahoma" w:hAnsi="Tahoma" w:cs="Tahoma"/>
          <w:sz w:val="22"/>
          <w:szCs w:val="22"/>
        </w:rPr>
        <w:t xml:space="preserve"> :</w:t>
      </w:r>
    </w:p>
    <w:p w14:paraId="0580D303" w14:textId="77777777" w:rsidR="000912D9" w:rsidRDefault="005A4DD2" w:rsidP="000912D9">
      <w:pPr>
        <w:pStyle w:val="Sansinterligne"/>
        <w:numPr>
          <w:ilvl w:val="0"/>
          <w:numId w:val="2"/>
        </w:numPr>
        <w:spacing w:before="120" w:after="120"/>
        <w:ind w:left="714" w:hanging="357"/>
        <w:jc w:val="both"/>
        <w:rPr>
          <w:rFonts w:ascii="Tahoma" w:hAnsi="Tahoma" w:cs="Tahoma"/>
          <w:sz w:val="22"/>
          <w:szCs w:val="22"/>
        </w:rPr>
      </w:pPr>
      <w:r w:rsidRPr="005A4DD2">
        <w:rPr>
          <w:rFonts w:ascii="Tahoma" w:hAnsi="Tahoma" w:cs="Tahoma"/>
          <w:sz w:val="22"/>
          <w:szCs w:val="22"/>
        </w:rPr>
        <w:t>toutes les collectivités territoriales et établissements publics territoriaux, affiliés ou non au Centre Départemental de Gestion de la Manche,</w:t>
      </w:r>
    </w:p>
    <w:p w14:paraId="3A2BD06A" w14:textId="77777777" w:rsidR="000912D9" w:rsidRDefault="005A4DD2" w:rsidP="000912D9">
      <w:pPr>
        <w:pStyle w:val="Sansinterligne"/>
        <w:numPr>
          <w:ilvl w:val="0"/>
          <w:numId w:val="2"/>
        </w:numPr>
        <w:spacing w:before="120" w:after="120"/>
        <w:ind w:left="714" w:hanging="357"/>
        <w:jc w:val="both"/>
        <w:rPr>
          <w:rFonts w:ascii="Tahoma" w:hAnsi="Tahoma" w:cs="Tahoma"/>
          <w:sz w:val="22"/>
          <w:szCs w:val="22"/>
        </w:rPr>
      </w:pPr>
      <w:r w:rsidRPr="000912D9">
        <w:rPr>
          <w:rFonts w:ascii="Tahoma" w:hAnsi="Tahoma" w:cs="Tahoma"/>
          <w:sz w:val="22"/>
          <w:szCs w:val="22"/>
        </w:rPr>
        <w:t>les associations participant à l’exécution du service public pour ces collectivités,</w:t>
      </w:r>
    </w:p>
    <w:p w14:paraId="3DE7406F" w14:textId="77777777" w:rsidR="000912D9" w:rsidRDefault="005A4DD2" w:rsidP="000912D9">
      <w:pPr>
        <w:pStyle w:val="Sansinterligne"/>
        <w:numPr>
          <w:ilvl w:val="0"/>
          <w:numId w:val="2"/>
        </w:numPr>
        <w:spacing w:before="120" w:after="120"/>
        <w:ind w:left="714" w:hanging="357"/>
        <w:jc w:val="both"/>
        <w:rPr>
          <w:rFonts w:ascii="Tahoma" w:hAnsi="Tahoma" w:cs="Tahoma"/>
          <w:sz w:val="22"/>
          <w:szCs w:val="22"/>
        </w:rPr>
      </w:pPr>
      <w:r w:rsidRPr="000912D9">
        <w:rPr>
          <w:rFonts w:ascii="Tahoma" w:hAnsi="Tahoma" w:cs="Tahoma"/>
          <w:sz w:val="22"/>
          <w:szCs w:val="22"/>
        </w:rPr>
        <w:t>les institutions relevant de la Fonction Publique d’Etat et de la Fonction Publique Hospitalière pour les agents en poste dans le département de la Manche,</w:t>
      </w:r>
    </w:p>
    <w:p w14:paraId="6B9FB890" w14:textId="77777777" w:rsidR="005A4DD2" w:rsidRDefault="005A4DD2" w:rsidP="000912D9">
      <w:pPr>
        <w:pStyle w:val="Sansinterligne"/>
        <w:numPr>
          <w:ilvl w:val="0"/>
          <w:numId w:val="2"/>
        </w:numPr>
        <w:spacing w:before="120" w:after="120"/>
        <w:ind w:left="714" w:hanging="357"/>
        <w:jc w:val="both"/>
        <w:rPr>
          <w:rFonts w:ascii="Tahoma" w:hAnsi="Tahoma" w:cs="Tahoma"/>
          <w:sz w:val="22"/>
          <w:szCs w:val="22"/>
        </w:rPr>
      </w:pPr>
      <w:proofErr w:type="gramStart"/>
      <w:r w:rsidRPr="000912D9">
        <w:rPr>
          <w:rFonts w:ascii="Tahoma" w:hAnsi="Tahoma" w:cs="Tahoma"/>
          <w:sz w:val="22"/>
          <w:szCs w:val="22"/>
        </w:rPr>
        <w:t>les</w:t>
      </w:r>
      <w:proofErr w:type="gramEnd"/>
      <w:r w:rsidRPr="000912D9">
        <w:rPr>
          <w:rFonts w:ascii="Tahoma" w:hAnsi="Tahoma" w:cs="Tahoma"/>
          <w:sz w:val="22"/>
          <w:szCs w:val="22"/>
        </w:rPr>
        <w:t xml:space="preserve"> collectivités territoriales et établissements publics territoriaux situés dans le Calvados. </w:t>
      </w:r>
    </w:p>
    <w:p w14:paraId="442DC2E8" w14:textId="77777777" w:rsidR="003E154B" w:rsidRPr="003E154B" w:rsidRDefault="003E154B" w:rsidP="003E154B">
      <w:pPr>
        <w:pStyle w:val="Sansinterligne"/>
        <w:spacing w:before="120" w:after="120"/>
        <w:ind w:left="357"/>
        <w:jc w:val="both"/>
        <w:rPr>
          <w:rFonts w:ascii="Tahoma" w:hAnsi="Tahoma" w:cs="Tahoma"/>
          <w:sz w:val="10"/>
          <w:szCs w:val="10"/>
        </w:rPr>
      </w:pPr>
    </w:p>
    <w:p w14:paraId="2BA16E6E" w14:textId="654C1A6C" w:rsidR="005A4DD2" w:rsidRPr="005A4DD2" w:rsidRDefault="005A4DD2" w:rsidP="000912D9">
      <w:pPr>
        <w:pStyle w:val="Titre3"/>
      </w:pPr>
      <w:r w:rsidRPr="005A4DD2">
        <w:t>ARTICLE 4</w:t>
      </w:r>
    </w:p>
    <w:p w14:paraId="6B16450E"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L’adhésion implique pour l’adhérent l’obligation de respecter les dispositions de la convention, signée par les deux parties et du présent règlement intérieur, ainsi que les textes législatifs et réglementaires concernant l’hygiène et la sécurité.</w:t>
      </w:r>
    </w:p>
    <w:p w14:paraId="506414C8" w14:textId="77777777" w:rsid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Cette adhésion est valable trois ans à compter du 1er janvier de l’année de sa prise d’effet. Elle pourra être prorogée à son terme pour une durée d’une année renouvelable par tacite reconduction et dès lors résiliable par l’une ou l’autre des parties moyennant le respect d’un préavis de trois mois.</w:t>
      </w:r>
    </w:p>
    <w:p w14:paraId="1A4CB6B2" w14:textId="77777777" w:rsidR="003E154B" w:rsidRPr="003E154B" w:rsidRDefault="003E154B" w:rsidP="005A4DD2">
      <w:pPr>
        <w:pStyle w:val="Sansinterligne"/>
        <w:spacing w:before="120" w:after="200"/>
        <w:jc w:val="both"/>
        <w:rPr>
          <w:rFonts w:ascii="Tahoma" w:hAnsi="Tahoma" w:cs="Tahoma"/>
          <w:sz w:val="10"/>
          <w:szCs w:val="10"/>
        </w:rPr>
      </w:pPr>
    </w:p>
    <w:p w14:paraId="2A7E2FAC" w14:textId="77777777" w:rsidR="000912D9" w:rsidRDefault="005A4DD2" w:rsidP="000912D9">
      <w:pPr>
        <w:pStyle w:val="Titre3"/>
      </w:pPr>
      <w:r w:rsidRPr="005A4DD2">
        <w:t>ARTICLE 5</w:t>
      </w:r>
    </w:p>
    <w:p w14:paraId="45F7AC5B" w14:textId="77777777" w:rsidR="005A4DD2" w:rsidRPr="005A4DD2" w:rsidRDefault="005A4DD2" w:rsidP="00AE0435">
      <w:pPr>
        <w:pStyle w:val="Titre4"/>
        <w:spacing w:before="0"/>
      </w:pPr>
      <w:r w:rsidRPr="005A4DD2">
        <w:t>Radiation</w:t>
      </w:r>
    </w:p>
    <w:p w14:paraId="499BF4DA"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 Conseil d’Administration du Centre Départemental de Gestion peut dénoncer la convention signée avec l’adhérent pour :</w:t>
      </w:r>
    </w:p>
    <w:p w14:paraId="7F0D2835" w14:textId="77777777" w:rsidR="000912D9" w:rsidRDefault="005A4DD2" w:rsidP="00AE0435">
      <w:pPr>
        <w:pStyle w:val="Sansinterligne"/>
        <w:numPr>
          <w:ilvl w:val="0"/>
          <w:numId w:val="3"/>
        </w:numPr>
        <w:spacing w:before="120" w:after="120"/>
        <w:ind w:left="714" w:hanging="357"/>
        <w:jc w:val="both"/>
        <w:rPr>
          <w:rFonts w:ascii="Tahoma" w:hAnsi="Tahoma" w:cs="Tahoma"/>
          <w:sz w:val="22"/>
          <w:szCs w:val="22"/>
        </w:rPr>
      </w:pPr>
      <w:r w:rsidRPr="005A4DD2">
        <w:rPr>
          <w:rFonts w:ascii="Tahoma" w:hAnsi="Tahoma" w:cs="Tahoma"/>
          <w:sz w:val="22"/>
          <w:szCs w:val="22"/>
        </w:rPr>
        <w:t>défaut de paiement des prestations de services dans un délai de 15 jours, après réception du titre de recettes,</w:t>
      </w:r>
    </w:p>
    <w:p w14:paraId="36CC715D" w14:textId="77777777" w:rsidR="000912D9" w:rsidRDefault="005A4DD2" w:rsidP="00AE0435">
      <w:pPr>
        <w:pStyle w:val="Sansinterligne"/>
        <w:numPr>
          <w:ilvl w:val="0"/>
          <w:numId w:val="3"/>
        </w:numPr>
        <w:spacing w:before="120" w:after="120"/>
        <w:ind w:left="714" w:hanging="357"/>
        <w:jc w:val="both"/>
        <w:rPr>
          <w:rFonts w:ascii="Tahoma" w:hAnsi="Tahoma" w:cs="Tahoma"/>
          <w:sz w:val="22"/>
          <w:szCs w:val="22"/>
        </w:rPr>
      </w:pPr>
      <w:r w:rsidRPr="000912D9">
        <w:rPr>
          <w:rFonts w:ascii="Tahoma" w:hAnsi="Tahoma" w:cs="Tahoma"/>
          <w:sz w:val="22"/>
          <w:szCs w:val="22"/>
        </w:rPr>
        <w:t>refus de communication des informations nécessaires à l’exécution des obligations de la médecine préventive,</w:t>
      </w:r>
    </w:p>
    <w:p w14:paraId="5C25DD37" w14:textId="34CF11FD" w:rsidR="005A4DD2" w:rsidRDefault="005A4DD2" w:rsidP="00AE0435">
      <w:pPr>
        <w:pStyle w:val="Sansinterligne"/>
        <w:numPr>
          <w:ilvl w:val="0"/>
          <w:numId w:val="3"/>
        </w:numPr>
        <w:spacing w:before="120" w:after="120"/>
        <w:ind w:left="714" w:hanging="357"/>
        <w:jc w:val="both"/>
        <w:rPr>
          <w:rFonts w:ascii="Tahoma" w:hAnsi="Tahoma" w:cs="Tahoma"/>
          <w:sz w:val="22"/>
          <w:szCs w:val="22"/>
        </w:rPr>
      </w:pPr>
      <w:proofErr w:type="gramStart"/>
      <w:r w:rsidRPr="000912D9">
        <w:rPr>
          <w:rFonts w:ascii="Tahoma" w:hAnsi="Tahoma" w:cs="Tahoma"/>
          <w:sz w:val="22"/>
          <w:szCs w:val="22"/>
        </w:rPr>
        <w:t>toute</w:t>
      </w:r>
      <w:proofErr w:type="gramEnd"/>
      <w:r w:rsidRPr="000912D9">
        <w:rPr>
          <w:rFonts w:ascii="Tahoma" w:hAnsi="Tahoma" w:cs="Tahoma"/>
          <w:sz w:val="22"/>
          <w:szCs w:val="22"/>
        </w:rPr>
        <w:t xml:space="preserve"> opposition à l’application des dispositions du décret n° 85-603 du 10 juin 1985 modifié ou du décret 82-453 du 28 mai 1982 modifié.</w:t>
      </w:r>
    </w:p>
    <w:p w14:paraId="65B7200A" w14:textId="77777777" w:rsidR="003E154B" w:rsidRPr="003E154B" w:rsidRDefault="003E154B" w:rsidP="003E154B">
      <w:pPr>
        <w:pStyle w:val="Sansinterligne"/>
        <w:spacing w:before="120" w:after="120"/>
        <w:ind w:left="357"/>
        <w:jc w:val="both"/>
        <w:rPr>
          <w:rFonts w:ascii="Tahoma" w:hAnsi="Tahoma" w:cs="Tahoma"/>
          <w:sz w:val="10"/>
          <w:szCs w:val="10"/>
        </w:rPr>
      </w:pPr>
    </w:p>
    <w:p w14:paraId="33A47E6B" w14:textId="77777777" w:rsidR="005A4DD2" w:rsidRPr="005A4DD2" w:rsidRDefault="005A4DD2" w:rsidP="000912D9">
      <w:pPr>
        <w:pStyle w:val="Titre3"/>
      </w:pPr>
      <w:r w:rsidRPr="005A4DD2">
        <w:t>ARTICLE 6</w:t>
      </w:r>
    </w:p>
    <w:p w14:paraId="489296E1" w14:textId="77777777" w:rsidR="005A4DD2" w:rsidRPr="005A4DD2" w:rsidRDefault="005A4DD2" w:rsidP="00AE0435">
      <w:pPr>
        <w:pStyle w:val="Titre4"/>
        <w:spacing w:before="0"/>
      </w:pPr>
      <w:r w:rsidRPr="005A4DD2">
        <w:t>Missions du service de médecine préventive : action sur le milieu professionnel</w:t>
      </w:r>
    </w:p>
    <w:p w14:paraId="3AB2FE92"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Les missions du service de médecine préventive sont, conformément aux articles 14 à 19-1 du décret n° 85-603 du 10 juin 1985 modifié et aux articles 15 à 21 du décret 82-453 du 28 mai 1982 modifié :</w:t>
      </w:r>
    </w:p>
    <w:p w14:paraId="7FDCEFCA" w14:textId="77777777" w:rsidR="000912D9" w:rsidRDefault="005A4DD2" w:rsidP="00AE0435">
      <w:pPr>
        <w:pStyle w:val="Sansinterligne"/>
        <w:numPr>
          <w:ilvl w:val="0"/>
          <w:numId w:val="4"/>
        </w:numPr>
        <w:spacing w:before="120" w:after="120"/>
        <w:jc w:val="both"/>
        <w:rPr>
          <w:rFonts w:ascii="Tahoma" w:hAnsi="Tahoma" w:cs="Tahoma"/>
          <w:sz w:val="22"/>
          <w:szCs w:val="22"/>
        </w:rPr>
      </w:pPr>
      <w:r w:rsidRPr="005A4DD2">
        <w:rPr>
          <w:rFonts w:ascii="Tahoma" w:hAnsi="Tahoma" w:cs="Tahoma"/>
          <w:sz w:val="22"/>
          <w:szCs w:val="22"/>
        </w:rPr>
        <w:t>Le service de médecine préventive conseille l’autorité territoriale, les agents et leurs représentants en ce qui concerne :</w:t>
      </w:r>
    </w:p>
    <w:p w14:paraId="59E826E5" w14:textId="77777777" w:rsidR="000912D9" w:rsidRDefault="005A4DD2" w:rsidP="00AE0435">
      <w:pPr>
        <w:pStyle w:val="Sansinterligne"/>
        <w:numPr>
          <w:ilvl w:val="0"/>
          <w:numId w:val="5"/>
        </w:numPr>
        <w:spacing w:before="120" w:after="120"/>
        <w:ind w:left="1434" w:hanging="357"/>
        <w:jc w:val="both"/>
        <w:rPr>
          <w:rFonts w:ascii="Tahoma" w:hAnsi="Tahoma" w:cs="Tahoma"/>
          <w:sz w:val="22"/>
          <w:szCs w:val="22"/>
        </w:rPr>
      </w:pPr>
      <w:r w:rsidRPr="000912D9">
        <w:rPr>
          <w:rFonts w:ascii="Tahoma" w:hAnsi="Tahoma" w:cs="Tahoma"/>
          <w:sz w:val="22"/>
          <w:szCs w:val="22"/>
        </w:rPr>
        <w:t>l’amélioration des conditions de vie et de travail dans les services,</w:t>
      </w:r>
    </w:p>
    <w:p w14:paraId="3A290B9D" w14:textId="18A618F0" w:rsidR="000912D9" w:rsidRDefault="005A4DD2" w:rsidP="00AE0435">
      <w:pPr>
        <w:pStyle w:val="Sansinterligne"/>
        <w:numPr>
          <w:ilvl w:val="0"/>
          <w:numId w:val="5"/>
        </w:numPr>
        <w:spacing w:before="120" w:after="120"/>
        <w:ind w:left="1434" w:hanging="357"/>
        <w:jc w:val="both"/>
        <w:rPr>
          <w:rFonts w:ascii="Tahoma" w:hAnsi="Tahoma" w:cs="Tahoma"/>
          <w:sz w:val="22"/>
          <w:szCs w:val="22"/>
        </w:rPr>
      </w:pPr>
      <w:proofErr w:type="gramStart"/>
      <w:r w:rsidRPr="000912D9">
        <w:rPr>
          <w:rFonts w:ascii="Tahoma" w:hAnsi="Tahoma" w:cs="Tahoma"/>
          <w:sz w:val="22"/>
          <w:szCs w:val="22"/>
        </w:rPr>
        <w:t>l’</w:t>
      </w:r>
      <w:r w:rsidR="00985D05">
        <w:rPr>
          <w:rFonts w:ascii="Tahoma" w:hAnsi="Tahoma" w:cs="Tahoma"/>
          <w:sz w:val="22"/>
          <w:szCs w:val="22"/>
        </w:rPr>
        <w:t>évaluation</w:t>
      </w:r>
      <w:proofErr w:type="gramEnd"/>
      <w:r w:rsidR="00985D05">
        <w:rPr>
          <w:rFonts w:ascii="Tahoma" w:hAnsi="Tahoma" w:cs="Tahoma"/>
          <w:sz w:val="22"/>
          <w:szCs w:val="22"/>
        </w:rPr>
        <w:t xml:space="preserve"> des risques professionnels</w:t>
      </w:r>
      <w:r w:rsidRPr="000912D9">
        <w:rPr>
          <w:rFonts w:ascii="Tahoma" w:hAnsi="Tahoma" w:cs="Tahoma"/>
          <w:sz w:val="22"/>
          <w:szCs w:val="22"/>
        </w:rPr>
        <w:t>,</w:t>
      </w:r>
    </w:p>
    <w:p w14:paraId="0909910B" w14:textId="77777777" w:rsidR="000912D9" w:rsidRDefault="005A4DD2" w:rsidP="00AE0435">
      <w:pPr>
        <w:pStyle w:val="Sansinterligne"/>
        <w:numPr>
          <w:ilvl w:val="0"/>
          <w:numId w:val="5"/>
        </w:numPr>
        <w:spacing w:before="120" w:after="120"/>
        <w:ind w:left="1434" w:hanging="357"/>
        <w:jc w:val="both"/>
        <w:rPr>
          <w:rFonts w:ascii="Tahoma" w:hAnsi="Tahoma" w:cs="Tahoma"/>
          <w:sz w:val="22"/>
          <w:szCs w:val="22"/>
        </w:rPr>
      </w:pPr>
      <w:proofErr w:type="gramStart"/>
      <w:r w:rsidRPr="000912D9">
        <w:rPr>
          <w:rFonts w:ascii="Tahoma" w:hAnsi="Tahoma" w:cs="Tahoma"/>
          <w:sz w:val="22"/>
          <w:szCs w:val="22"/>
        </w:rPr>
        <w:t>la</w:t>
      </w:r>
      <w:proofErr w:type="gramEnd"/>
      <w:r w:rsidRPr="000912D9">
        <w:rPr>
          <w:rFonts w:ascii="Tahoma" w:hAnsi="Tahoma" w:cs="Tahoma"/>
          <w:sz w:val="22"/>
          <w:szCs w:val="22"/>
        </w:rPr>
        <w:t xml:space="preserve"> protection des agents contre l’ensemble des nuisances et les risques d’accidents de service ou de maladie professionnelle ou à caractère professionnel,</w:t>
      </w:r>
    </w:p>
    <w:p w14:paraId="79EA3012" w14:textId="5ADEAE25" w:rsidR="00985D05" w:rsidRPr="00985D05" w:rsidRDefault="00985D05" w:rsidP="00985D05">
      <w:pPr>
        <w:pStyle w:val="Sansinterligne"/>
        <w:numPr>
          <w:ilvl w:val="0"/>
          <w:numId w:val="5"/>
        </w:numPr>
        <w:spacing w:before="120" w:after="120"/>
        <w:ind w:left="1434" w:hanging="357"/>
        <w:jc w:val="both"/>
        <w:rPr>
          <w:rFonts w:ascii="Tahoma" w:hAnsi="Tahoma" w:cs="Tahoma"/>
          <w:sz w:val="22"/>
          <w:szCs w:val="22"/>
        </w:rPr>
      </w:pPr>
      <w:proofErr w:type="gramStart"/>
      <w:r w:rsidRPr="000912D9">
        <w:rPr>
          <w:rFonts w:ascii="Tahoma" w:hAnsi="Tahoma" w:cs="Tahoma"/>
          <w:sz w:val="22"/>
          <w:szCs w:val="22"/>
        </w:rPr>
        <w:t>l’adaptation</w:t>
      </w:r>
      <w:proofErr w:type="gramEnd"/>
      <w:r w:rsidRPr="000912D9">
        <w:rPr>
          <w:rFonts w:ascii="Tahoma" w:hAnsi="Tahoma" w:cs="Tahoma"/>
          <w:sz w:val="22"/>
          <w:szCs w:val="22"/>
        </w:rPr>
        <w:t xml:space="preserve"> des postes, des techniques et des rythmes de travail à la physiologie humaine,</w:t>
      </w:r>
      <w:r>
        <w:rPr>
          <w:rFonts w:ascii="Tahoma" w:hAnsi="Tahoma" w:cs="Tahoma"/>
          <w:sz w:val="22"/>
          <w:szCs w:val="22"/>
        </w:rPr>
        <w:t xml:space="preserve"> en vue de contribuer au maintien dans l’emploi des agents,</w:t>
      </w:r>
    </w:p>
    <w:p w14:paraId="681CC00C" w14:textId="77777777" w:rsidR="00985D05" w:rsidRDefault="005A4DD2" w:rsidP="00AE0435">
      <w:pPr>
        <w:pStyle w:val="Sansinterligne"/>
        <w:numPr>
          <w:ilvl w:val="0"/>
          <w:numId w:val="5"/>
        </w:numPr>
        <w:spacing w:before="120" w:after="120"/>
        <w:ind w:left="1434" w:hanging="357"/>
        <w:jc w:val="both"/>
        <w:rPr>
          <w:rFonts w:ascii="Tahoma" w:hAnsi="Tahoma" w:cs="Tahoma"/>
          <w:sz w:val="22"/>
          <w:szCs w:val="22"/>
        </w:rPr>
      </w:pPr>
      <w:proofErr w:type="gramStart"/>
      <w:r w:rsidRPr="000912D9">
        <w:rPr>
          <w:rFonts w:ascii="Tahoma" w:hAnsi="Tahoma" w:cs="Tahoma"/>
          <w:sz w:val="22"/>
          <w:szCs w:val="22"/>
        </w:rPr>
        <w:t>l’hygiène</w:t>
      </w:r>
      <w:proofErr w:type="gramEnd"/>
      <w:r w:rsidR="00985D05">
        <w:rPr>
          <w:rFonts w:ascii="Tahoma" w:hAnsi="Tahoma" w:cs="Tahoma"/>
          <w:sz w:val="22"/>
          <w:szCs w:val="22"/>
        </w:rPr>
        <w:t xml:space="preserve"> générale des locaux de service,</w:t>
      </w:r>
    </w:p>
    <w:p w14:paraId="4F0E0B0B" w14:textId="2BBDDD6F" w:rsidR="000912D9" w:rsidRDefault="00985D05" w:rsidP="00AE0435">
      <w:pPr>
        <w:pStyle w:val="Sansinterligne"/>
        <w:numPr>
          <w:ilvl w:val="0"/>
          <w:numId w:val="5"/>
        </w:numPr>
        <w:spacing w:before="120" w:after="120"/>
        <w:ind w:left="1434" w:hanging="357"/>
        <w:jc w:val="both"/>
        <w:rPr>
          <w:rFonts w:ascii="Tahoma" w:hAnsi="Tahoma" w:cs="Tahoma"/>
          <w:sz w:val="22"/>
          <w:szCs w:val="22"/>
        </w:rPr>
      </w:pPr>
      <w:proofErr w:type="gramStart"/>
      <w:r>
        <w:rPr>
          <w:rFonts w:ascii="Tahoma" w:hAnsi="Tahoma" w:cs="Tahoma"/>
          <w:sz w:val="22"/>
          <w:szCs w:val="22"/>
        </w:rPr>
        <w:t>l’hygiène</w:t>
      </w:r>
      <w:proofErr w:type="gramEnd"/>
      <w:r>
        <w:rPr>
          <w:rFonts w:ascii="Tahoma" w:hAnsi="Tahoma" w:cs="Tahoma"/>
          <w:sz w:val="22"/>
          <w:szCs w:val="22"/>
        </w:rPr>
        <w:t xml:space="preserve"> </w:t>
      </w:r>
      <w:r w:rsidR="005A4DD2" w:rsidRPr="000912D9">
        <w:rPr>
          <w:rFonts w:ascii="Tahoma" w:hAnsi="Tahoma" w:cs="Tahoma"/>
          <w:sz w:val="22"/>
          <w:szCs w:val="22"/>
        </w:rPr>
        <w:t>dans les restaurants administratifs,</w:t>
      </w:r>
    </w:p>
    <w:p w14:paraId="68CA79BD" w14:textId="77777777" w:rsidR="005A4DD2" w:rsidRPr="000912D9" w:rsidRDefault="005A4DD2" w:rsidP="00AE0435">
      <w:pPr>
        <w:pStyle w:val="Sansinterligne"/>
        <w:numPr>
          <w:ilvl w:val="0"/>
          <w:numId w:val="5"/>
        </w:numPr>
        <w:spacing w:before="120" w:after="120"/>
        <w:ind w:left="1434" w:hanging="357"/>
        <w:jc w:val="both"/>
        <w:rPr>
          <w:rFonts w:ascii="Tahoma" w:hAnsi="Tahoma" w:cs="Tahoma"/>
          <w:sz w:val="22"/>
          <w:szCs w:val="22"/>
        </w:rPr>
      </w:pPr>
      <w:r w:rsidRPr="000912D9">
        <w:rPr>
          <w:rFonts w:ascii="Tahoma" w:hAnsi="Tahoma" w:cs="Tahoma"/>
          <w:sz w:val="22"/>
          <w:szCs w:val="22"/>
        </w:rPr>
        <w:t>l’information sanitaire.</w:t>
      </w:r>
    </w:p>
    <w:p w14:paraId="3AAD3235" w14:textId="77777777" w:rsidR="000912D9" w:rsidRDefault="005A4DD2" w:rsidP="00AE0435">
      <w:pPr>
        <w:pStyle w:val="Sansinterligne"/>
        <w:numPr>
          <w:ilvl w:val="0"/>
          <w:numId w:val="4"/>
        </w:numPr>
        <w:spacing w:before="120" w:after="120"/>
        <w:jc w:val="both"/>
        <w:rPr>
          <w:rFonts w:ascii="Tahoma" w:hAnsi="Tahoma" w:cs="Tahoma"/>
          <w:sz w:val="22"/>
          <w:szCs w:val="22"/>
        </w:rPr>
      </w:pPr>
      <w:r w:rsidRPr="005A4DD2">
        <w:rPr>
          <w:rFonts w:ascii="Tahoma" w:hAnsi="Tahoma" w:cs="Tahoma"/>
          <w:sz w:val="22"/>
          <w:szCs w:val="22"/>
        </w:rPr>
        <w:t>Le service de médecine préventive est associé aux actions de formation à l’hygiène et à la sécurité.</w:t>
      </w:r>
    </w:p>
    <w:p w14:paraId="216C0056" w14:textId="3A4C6D92" w:rsidR="000912D9" w:rsidRDefault="005A4DD2" w:rsidP="00AE0435">
      <w:pPr>
        <w:pStyle w:val="Sansinterligne"/>
        <w:numPr>
          <w:ilvl w:val="0"/>
          <w:numId w:val="4"/>
        </w:numPr>
        <w:spacing w:before="120" w:after="120"/>
        <w:jc w:val="both"/>
        <w:rPr>
          <w:rFonts w:ascii="Tahoma" w:hAnsi="Tahoma" w:cs="Tahoma"/>
          <w:sz w:val="22"/>
          <w:szCs w:val="22"/>
        </w:rPr>
      </w:pPr>
      <w:r w:rsidRPr="000912D9">
        <w:rPr>
          <w:rFonts w:ascii="Tahoma" w:hAnsi="Tahoma" w:cs="Tahoma"/>
          <w:sz w:val="22"/>
          <w:szCs w:val="22"/>
        </w:rPr>
        <w:t>Le médecin de prévention assiste de plein droit aux séances d</w:t>
      </w:r>
      <w:r w:rsidR="00985D05">
        <w:rPr>
          <w:rFonts w:ascii="Tahoma" w:hAnsi="Tahoma" w:cs="Tahoma"/>
          <w:sz w:val="22"/>
          <w:szCs w:val="22"/>
        </w:rPr>
        <w:t xml:space="preserve">e la formation spécialisée en matière de santé, de sécurité et des conditions de travail ou, à défaut, du comité social territorial avec voix consultative. </w:t>
      </w:r>
    </w:p>
    <w:p w14:paraId="475597FE" w14:textId="77777777" w:rsidR="000912D9" w:rsidRDefault="005A4DD2" w:rsidP="00AE0435">
      <w:pPr>
        <w:pStyle w:val="Sansinterligne"/>
        <w:numPr>
          <w:ilvl w:val="0"/>
          <w:numId w:val="4"/>
        </w:numPr>
        <w:spacing w:before="120" w:after="120"/>
        <w:jc w:val="both"/>
        <w:rPr>
          <w:rFonts w:ascii="Tahoma" w:hAnsi="Tahoma" w:cs="Tahoma"/>
          <w:sz w:val="22"/>
          <w:szCs w:val="22"/>
        </w:rPr>
      </w:pPr>
      <w:r w:rsidRPr="000912D9">
        <w:rPr>
          <w:rFonts w:ascii="Tahoma" w:hAnsi="Tahoma" w:cs="Tahoma"/>
          <w:sz w:val="22"/>
          <w:szCs w:val="22"/>
        </w:rPr>
        <w:t>Le service de médecine préventive est consulté sur les projets de construction ou aménagements importants des bâtiments administratifs et techniques et de modifications apportées aux équipements ainsi que ceux liés aux nouvelles technologies. Il peut procéder à toute étude et soumettre des propositions. Il formule des propositions sur l’accessibilité des locaux aux agents handicapés.</w:t>
      </w:r>
    </w:p>
    <w:p w14:paraId="39B4C051" w14:textId="467D226C" w:rsidR="000912D9" w:rsidRPr="00653ABC" w:rsidRDefault="005A4DD2" w:rsidP="00653ABC">
      <w:pPr>
        <w:pStyle w:val="Sansinterligne"/>
        <w:numPr>
          <w:ilvl w:val="0"/>
          <w:numId w:val="4"/>
        </w:numPr>
        <w:spacing w:before="120" w:after="120"/>
        <w:jc w:val="both"/>
        <w:rPr>
          <w:rFonts w:ascii="Tahoma" w:hAnsi="Tahoma" w:cs="Tahoma"/>
          <w:sz w:val="22"/>
          <w:szCs w:val="22"/>
        </w:rPr>
      </w:pPr>
      <w:r w:rsidRPr="000912D9">
        <w:rPr>
          <w:rFonts w:ascii="Tahoma" w:hAnsi="Tahoma" w:cs="Tahoma"/>
          <w:sz w:val="22"/>
          <w:szCs w:val="22"/>
        </w:rPr>
        <w:lastRenderedPageBreak/>
        <w:t>Le service de médecine préventive est obligatoirement informé, avant toute utilisation de substances ou produits dangereux, de la composition de ces produits et de la nature de ces substances, ainsi que de leurs modalités d’emploi.</w:t>
      </w:r>
      <w:r w:rsidR="00653ABC">
        <w:rPr>
          <w:rFonts w:ascii="Tahoma" w:hAnsi="Tahoma" w:cs="Tahoma"/>
          <w:sz w:val="22"/>
          <w:szCs w:val="22"/>
        </w:rPr>
        <w:t xml:space="preserve"> </w:t>
      </w:r>
      <w:r w:rsidR="00653ABC" w:rsidRPr="00653ABC">
        <w:rPr>
          <w:rFonts w:ascii="Tahoma" w:hAnsi="Tahoma" w:cs="Tahoma"/>
          <w:sz w:val="22"/>
          <w:szCs w:val="22"/>
        </w:rPr>
        <w:t>L'autorité territoriale transmet au médecin du travail les fiches de données de sécurité délivrées par les fournisseurs de ces produits.</w:t>
      </w:r>
    </w:p>
    <w:p w14:paraId="0F057755" w14:textId="77777777" w:rsidR="00422917" w:rsidRPr="00422917" w:rsidRDefault="005A4DD2" w:rsidP="00AE0435">
      <w:pPr>
        <w:pStyle w:val="Sansinterligne"/>
        <w:numPr>
          <w:ilvl w:val="0"/>
          <w:numId w:val="4"/>
        </w:numPr>
        <w:spacing w:before="120" w:after="120"/>
        <w:jc w:val="both"/>
        <w:rPr>
          <w:rFonts w:ascii="Tahoma" w:hAnsi="Tahoma" w:cs="Tahoma"/>
          <w:sz w:val="22"/>
          <w:szCs w:val="22"/>
        </w:rPr>
      </w:pPr>
      <w:r w:rsidRPr="00422917">
        <w:rPr>
          <w:rFonts w:ascii="Tahoma" w:hAnsi="Tahoma" w:cs="Tahoma"/>
          <w:sz w:val="22"/>
          <w:szCs w:val="22"/>
        </w:rPr>
        <w:t>Le service de médecine préventive peut demander à l’autorité de faire effectuer des prélèvements et des mesures aux fins d’analyses, le refus de celle-ci doit être motivé. Le service de médecine préventive informe l’organisme compétent en matière d’hygiène et de sécurité, en application du titre I</w:t>
      </w:r>
      <w:r w:rsidR="00653ABC" w:rsidRPr="00422917">
        <w:rPr>
          <w:rFonts w:ascii="Tahoma" w:hAnsi="Tahoma" w:cs="Tahoma"/>
          <w:sz w:val="22"/>
          <w:szCs w:val="22"/>
        </w:rPr>
        <w:t>II</w:t>
      </w:r>
      <w:r w:rsidRPr="00422917">
        <w:rPr>
          <w:rFonts w:ascii="Tahoma" w:hAnsi="Tahoma" w:cs="Tahoma"/>
          <w:sz w:val="22"/>
          <w:szCs w:val="22"/>
        </w:rPr>
        <w:t xml:space="preserve"> du décret </w:t>
      </w:r>
      <w:r w:rsidR="00422917" w:rsidRPr="00422917">
        <w:rPr>
          <w:rFonts w:ascii="Tahoma" w:hAnsi="Tahoma" w:cs="Tahoma"/>
          <w:sz w:val="22"/>
          <w:szCs w:val="22"/>
        </w:rPr>
        <w:t>n° 2021-571 du 10 mai 2021 relatif aux comités sociaux territoriaux des collectivités territoriales et de leurs établissements publics des résultats de toutes mesures et analyses.</w:t>
      </w:r>
    </w:p>
    <w:p w14:paraId="2A5240A4" w14:textId="3D1FFBA3" w:rsidR="005A4DD2" w:rsidRDefault="005A4DD2" w:rsidP="00AE0435">
      <w:pPr>
        <w:pStyle w:val="Sansinterligne"/>
        <w:numPr>
          <w:ilvl w:val="0"/>
          <w:numId w:val="4"/>
        </w:numPr>
        <w:spacing w:before="120" w:after="120"/>
        <w:jc w:val="both"/>
        <w:rPr>
          <w:rFonts w:ascii="Tahoma" w:hAnsi="Tahoma" w:cs="Tahoma"/>
          <w:sz w:val="22"/>
          <w:szCs w:val="22"/>
        </w:rPr>
      </w:pPr>
      <w:r w:rsidRPr="00422917">
        <w:rPr>
          <w:rFonts w:ascii="Tahoma" w:hAnsi="Tahoma" w:cs="Tahoma"/>
          <w:sz w:val="22"/>
          <w:szCs w:val="22"/>
        </w:rPr>
        <w:t>Le service de médecine préventive participe aux études et enquêtes épidémiologiques.</w:t>
      </w:r>
    </w:p>
    <w:p w14:paraId="56659C02" w14:textId="7EFD3224" w:rsidR="00422917" w:rsidRPr="00422917" w:rsidRDefault="00422917" w:rsidP="00AE0435">
      <w:pPr>
        <w:pStyle w:val="Sansinterligne"/>
        <w:numPr>
          <w:ilvl w:val="0"/>
          <w:numId w:val="4"/>
        </w:numPr>
        <w:spacing w:before="120" w:after="120"/>
        <w:jc w:val="both"/>
        <w:rPr>
          <w:rFonts w:ascii="Tahoma" w:hAnsi="Tahoma" w:cs="Tahoma"/>
          <w:sz w:val="22"/>
          <w:szCs w:val="22"/>
        </w:rPr>
      </w:pPr>
      <w:r w:rsidRPr="00422917">
        <w:rPr>
          <w:rFonts w:ascii="Tahoma" w:hAnsi="Tahoma" w:cs="Tahoma"/>
          <w:sz w:val="22"/>
          <w:szCs w:val="22"/>
        </w:rPr>
        <w:t>Le médecin du travail doit consacrer à sa mission en milieu de travail au moins un tiers du temps dont il dispose.</w:t>
      </w:r>
      <w:r w:rsidRPr="00422917">
        <w:rPr>
          <w:rFonts w:ascii="Tahoma" w:hAnsi="Tahoma" w:cs="Tahoma"/>
          <w:sz w:val="22"/>
          <w:szCs w:val="22"/>
        </w:rPr>
        <w:t xml:space="preserve"> </w:t>
      </w:r>
      <w:r w:rsidRPr="00422917">
        <w:rPr>
          <w:rFonts w:ascii="Tahoma" w:hAnsi="Tahoma" w:cs="Tahoma"/>
          <w:sz w:val="22"/>
          <w:szCs w:val="22"/>
        </w:rPr>
        <w:t>Les membres de l'équipe pluridisciplinaire participent aux actions sur le milieu de travail dans les conditions fixées à l'article 13-1.</w:t>
      </w:r>
      <w:r w:rsidRPr="00422917">
        <w:rPr>
          <w:rFonts w:ascii="Tahoma" w:hAnsi="Tahoma" w:cs="Tahoma"/>
          <w:sz w:val="22"/>
          <w:szCs w:val="22"/>
        </w:rPr>
        <w:t xml:space="preserve"> </w:t>
      </w:r>
      <w:r w:rsidRPr="00422917">
        <w:rPr>
          <w:rFonts w:ascii="Tahoma" w:hAnsi="Tahoma" w:cs="Tahoma"/>
          <w:sz w:val="22"/>
          <w:szCs w:val="22"/>
        </w:rPr>
        <w:t>Tous ont libre accès aux lieux et aux locaux de travail.</w:t>
      </w:r>
    </w:p>
    <w:p w14:paraId="00C25F52" w14:textId="77777777" w:rsidR="003E154B" w:rsidRPr="003E154B" w:rsidRDefault="003E154B" w:rsidP="003E154B">
      <w:pPr>
        <w:pStyle w:val="Sansinterligne"/>
        <w:spacing w:before="120" w:after="120"/>
        <w:ind w:left="360"/>
        <w:jc w:val="both"/>
        <w:rPr>
          <w:rFonts w:ascii="Tahoma" w:hAnsi="Tahoma" w:cs="Tahoma"/>
          <w:sz w:val="10"/>
          <w:szCs w:val="10"/>
        </w:rPr>
      </w:pPr>
    </w:p>
    <w:p w14:paraId="3086B031" w14:textId="77777777" w:rsidR="005A4DD2" w:rsidRPr="005A4DD2" w:rsidRDefault="005A4DD2" w:rsidP="000912D9">
      <w:pPr>
        <w:pStyle w:val="Titre3"/>
      </w:pPr>
      <w:r w:rsidRPr="005A4DD2">
        <w:t>ARTICLE 7</w:t>
      </w:r>
    </w:p>
    <w:p w14:paraId="3A220EC2" w14:textId="77777777" w:rsidR="005A4DD2" w:rsidRPr="005A4DD2" w:rsidRDefault="005A4DD2" w:rsidP="00AE0435">
      <w:pPr>
        <w:pStyle w:val="Titre4"/>
        <w:spacing w:before="0"/>
      </w:pPr>
      <w:r w:rsidRPr="005A4DD2">
        <w:t>Missions du service de médecine préventive : Surveillance médicale des agents</w:t>
      </w:r>
    </w:p>
    <w:p w14:paraId="2184B2E0" w14:textId="77777777" w:rsidR="00A559BB"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La surveillance médicale des agents s’effectue, conformément aux dispositions des articles 20 à</w:t>
      </w:r>
      <w:r w:rsidR="000912D9">
        <w:rPr>
          <w:rFonts w:ascii="Tahoma" w:hAnsi="Tahoma" w:cs="Tahoma"/>
          <w:sz w:val="22"/>
          <w:szCs w:val="22"/>
        </w:rPr>
        <w:t xml:space="preserve"> </w:t>
      </w:r>
      <w:r w:rsidRPr="005A4DD2">
        <w:rPr>
          <w:rFonts w:ascii="Tahoma" w:hAnsi="Tahoma" w:cs="Tahoma"/>
          <w:sz w:val="22"/>
          <w:szCs w:val="22"/>
        </w:rPr>
        <w:t>26-1 du décret n° 85-603 du 10 juin 1985 modifié et des articles 22 à 28-2 du décret 82-453 du 28 mai 1982 modifié</w:t>
      </w:r>
      <w:r w:rsidR="00422917">
        <w:rPr>
          <w:rFonts w:ascii="Tahoma" w:hAnsi="Tahoma" w:cs="Tahoma"/>
          <w:sz w:val="22"/>
          <w:szCs w:val="22"/>
        </w:rPr>
        <w:t>.</w:t>
      </w:r>
      <w:r w:rsidRPr="005A4DD2">
        <w:rPr>
          <w:rFonts w:ascii="Tahoma" w:hAnsi="Tahoma" w:cs="Tahoma"/>
          <w:sz w:val="22"/>
          <w:szCs w:val="22"/>
        </w:rPr>
        <w:t xml:space="preserve"> </w:t>
      </w:r>
    </w:p>
    <w:p w14:paraId="25835B5E" w14:textId="77777777" w:rsidR="00A559BB" w:rsidRDefault="00A559BB" w:rsidP="00A559BB">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La visite d'information et de prévention a pour objet :</w:t>
      </w:r>
    </w:p>
    <w:p w14:paraId="3B54FC11" w14:textId="2648D43A" w:rsidR="00A559BB" w:rsidRPr="00A559BB" w:rsidRDefault="00A559BB" w:rsidP="00A559BB">
      <w:pPr>
        <w:pStyle w:val="Sansinterligne"/>
        <w:numPr>
          <w:ilvl w:val="0"/>
          <w:numId w:val="8"/>
        </w:numPr>
        <w:spacing w:before="120" w:after="120"/>
        <w:jc w:val="both"/>
        <w:rPr>
          <w:rFonts w:ascii="Tahoma" w:hAnsi="Tahoma" w:cs="Tahoma"/>
          <w:sz w:val="22"/>
          <w:szCs w:val="22"/>
        </w:rPr>
      </w:pPr>
      <w:r w:rsidRPr="00A559BB">
        <w:rPr>
          <w:rFonts w:ascii="Tahoma" w:hAnsi="Tahoma" w:cs="Tahoma"/>
          <w:sz w:val="22"/>
          <w:szCs w:val="22"/>
        </w:rPr>
        <w:t>D'interroger l'agent sur son état de santé ;</w:t>
      </w:r>
    </w:p>
    <w:p w14:paraId="4656E6A0" w14:textId="24E95CED" w:rsidR="00A559BB" w:rsidRPr="00A559BB" w:rsidRDefault="00A559BB" w:rsidP="00A559BB">
      <w:pPr>
        <w:pStyle w:val="Sansinterligne"/>
        <w:numPr>
          <w:ilvl w:val="0"/>
          <w:numId w:val="8"/>
        </w:numPr>
        <w:spacing w:before="120" w:after="120"/>
        <w:jc w:val="both"/>
        <w:rPr>
          <w:rFonts w:ascii="Tahoma" w:hAnsi="Tahoma" w:cs="Tahoma"/>
          <w:sz w:val="22"/>
          <w:szCs w:val="22"/>
        </w:rPr>
      </w:pPr>
      <w:r w:rsidRPr="00A559BB">
        <w:rPr>
          <w:rFonts w:ascii="Tahoma" w:hAnsi="Tahoma" w:cs="Tahoma"/>
          <w:sz w:val="22"/>
          <w:szCs w:val="22"/>
        </w:rPr>
        <w:t>De l'informer sur les risques éventuels auxquels l'expose son poste de travail ;</w:t>
      </w:r>
    </w:p>
    <w:p w14:paraId="0EDA68C9" w14:textId="1AA51BCF" w:rsidR="00A559BB" w:rsidRPr="00A559BB" w:rsidRDefault="00A559BB" w:rsidP="00A559BB">
      <w:pPr>
        <w:pStyle w:val="Sansinterligne"/>
        <w:numPr>
          <w:ilvl w:val="0"/>
          <w:numId w:val="8"/>
        </w:numPr>
        <w:spacing w:before="120" w:after="120"/>
        <w:jc w:val="both"/>
        <w:rPr>
          <w:rFonts w:ascii="Tahoma" w:hAnsi="Tahoma" w:cs="Tahoma"/>
          <w:sz w:val="22"/>
          <w:szCs w:val="22"/>
        </w:rPr>
      </w:pPr>
      <w:r w:rsidRPr="00A559BB">
        <w:rPr>
          <w:rFonts w:ascii="Tahoma" w:hAnsi="Tahoma" w:cs="Tahoma"/>
          <w:sz w:val="22"/>
          <w:szCs w:val="22"/>
        </w:rPr>
        <w:t>De le sensibiliser sur les moyens de prévention à mettre en œuvre ;</w:t>
      </w:r>
    </w:p>
    <w:p w14:paraId="6BF2A6A2" w14:textId="18DF572A" w:rsidR="00A559BB" w:rsidRPr="00A559BB" w:rsidRDefault="00A559BB" w:rsidP="00A559BB">
      <w:pPr>
        <w:pStyle w:val="Sansinterligne"/>
        <w:numPr>
          <w:ilvl w:val="0"/>
          <w:numId w:val="8"/>
        </w:numPr>
        <w:spacing w:before="120" w:after="120"/>
        <w:jc w:val="both"/>
        <w:rPr>
          <w:rFonts w:ascii="Tahoma" w:hAnsi="Tahoma" w:cs="Tahoma"/>
          <w:sz w:val="22"/>
          <w:szCs w:val="22"/>
        </w:rPr>
      </w:pPr>
      <w:r w:rsidRPr="00A559BB">
        <w:rPr>
          <w:rFonts w:ascii="Tahoma" w:hAnsi="Tahoma" w:cs="Tahoma"/>
          <w:sz w:val="22"/>
          <w:szCs w:val="22"/>
        </w:rPr>
        <w:t>D'identifier si son état de santé ou les risques auxquels il est exposé nécessitent une orientation vers le médecin du travail ;</w:t>
      </w:r>
    </w:p>
    <w:p w14:paraId="56EF76DB" w14:textId="3A37787E" w:rsidR="00A559BB" w:rsidRPr="00A559BB" w:rsidRDefault="00A559BB" w:rsidP="00A559BB">
      <w:pPr>
        <w:pStyle w:val="Sansinterligne"/>
        <w:numPr>
          <w:ilvl w:val="0"/>
          <w:numId w:val="8"/>
        </w:numPr>
        <w:spacing w:before="120" w:after="120"/>
        <w:jc w:val="both"/>
        <w:rPr>
          <w:rFonts w:ascii="Tahoma" w:hAnsi="Tahoma" w:cs="Tahoma"/>
          <w:sz w:val="22"/>
          <w:szCs w:val="22"/>
        </w:rPr>
      </w:pPr>
      <w:r w:rsidRPr="00A559BB">
        <w:rPr>
          <w:rFonts w:ascii="Tahoma" w:hAnsi="Tahoma" w:cs="Tahoma"/>
          <w:sz w:val="22"/>
          <w:szCs w:val="22"/>
        </w:rPr>
        <w:t>De l'informer sur les modalités de suivi de son état de santé par le service et sur la possibilité dont il dispose, à tout moment, de bénéficier d'une visite à sa demande avec le médecin du travail.</w:t>
      </w:r>
    </w:p>
    <w:p w14:paraId="27B743D8" w14:textId="358A0626"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 service de médecine préventive exerce une surveillance médicale particulière à l’égard des agents en situation de handicap, des femmes enceintes</w:t>
      </w:r>
      <w:r w:rsidR="00574421">
        <w:rPr>
          <w:rFonts w:ascii="Tahoma" w:hAnsi="Tahoma" w:cs="Tahoma"/>
          <w:sz w:val="22"/>
          <w:szCs w:val="22"/>
        </w:rPr>
        <w:t>, venant d’accoucher ou allaitantes</w:t>
      </w:r>
      <w:r w:rsidRPr="005A4DD2">
        <w:rPr>
          <w:rFonts w:ascii="Tahoma" w:hAnsi="Tahoma" w:cs="Tahoma"/>
          <w:sz w:val="22"/>
          <w:szCs w:val="22"/>
        </w:rPr>
        <w:t>, des agents réintégrés après un congé de longue maladie ou de longue durée, des agents occupant des postes dans des services comportant des risques spéciaux, des agents souffrant de pathologies particulières.</w:t>
      </w:r>
    </w:p>
    <w:p w14:paraId="3CB275C2"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Les professionnels de santé du service de médecine préventive peuvent recommander des examens complémentaires et des vaccins spéciaux (hépatite B, leptospirose…). Ceux-ci demeurent à la charge de l’adhérent. Les vaccins recommandés par les professionnels de santé, sans rapport avec l’activité professionnelle, sont à la charge de l’agent.</w:t>
      </w:r>
    </w:p>
    <w:p w14:paraId="255C6779" w14:textId="5186A295" w:rsidR="005A4DD2" w:rsidRDefault="00A559BB" w:rsidP="005A4DD2">
      <w:pPr>
        <w:pStyle w:val="Sansinterligne"/>
        <w:spacing w:before="120" w:after="200"/>
        <w:jc w:val="both"/>
        <w:rPr>
          <w:rFonts w:ascii="Tahoma" w:hAnsi="Tahoma" w:cs="Tahoma"/>
          <w:sz w:val="22"/>
          <w:szCs w:val="22"/>
        </w:rPr>
      </w:pPr>
      <w:r w:rsidRPr="00A559BB">
        <w:rPr>
          <w:rFonts w:ascii="Tahoma" w:hAnsi="Tahoma" w:cs="Tahoma"/>
          <w:sz w:val="22"/>
          <w:szCs w:val="22"/>
        </w:rPr>
        <w:t>Des autorisations d'absence sont accordées par l'autorité territoriale pour permettre aux agents de bénéficier des examens médicaux et des visites avec le médecin ou un autre membre de l'équipe pluridisciplinaire</w:t>
      </w:r>
      <w:r>
        <w:rPr>
          <w:rFonts w:ascii="Tahoma" w:hAnsi="Tahoma" w:cs="Tahoma"/>
          <w:sz w:val="22"/>
          <w:szCs w:val="22"/>
        </w:rPr>
        <w:t>.</w:t>
      </w:r>
    </w:p>
    <w:p w14:paraId="1B68419B" w14:textId="10163E6D" w:rsidR="00574421" w:rsidRPr="005A4DD2" w:rsidRDefault="00574421" w:rsidP="005A4DD2">
      <w:pPr>
        <w:pStyle w:val="Sansinterligne"/>
        <w:spacing w:before="120" w:after="200"/>
        <w:jc w:val="both"/>
        <w:rPr>
          <w:rFonts w:ascii="Tahoma" w:hAnsi="Tahoma" w:cs="Tahoma"/>
          <w:sz w:val="22"/>
          <w:szCs w:val="22"/>
        </w:rPr>
      </w:pPr>
      <w:r w:rsidRPr="00574421">
        <w:rPr>
          <w:rFonts w:ascii="Tahoma" w:hAnsi="Tahoma" w:cs="Tahoma"/>
          <w:sz w:val="22"/>
          <w:szCs w:val="22"/>
        </w:rPr>
        <w:t>Le médecin du travail définit la fréquence et la nature du suivi que comporte cette surveillance médicale. Ces visites présentent un caractère obligatoire.</w:t>
      </w:r>
    </w:p>
    <w:p w14:paraId="4A7A8E88" w14:textId="77777777" w:rsidR="00A559BB" w:rsidRPr="00A559BB" w:rsidRDefault="00A559BB" w:rsidP="00A559BB">
      <w:pPr>
        <w:pStyle w:val="Sansinterligne"/>
        <w:spacing w:before="120" w:after="200"/>
        <w:jc w:val="both"/>
        <w:rPr>
          <w:rFonts w:ascii="Tahoma" w:hAnsi="Tahoma" w:cs="Tahoma"/>
          <w:sz w:val="22"/>
          <w:szCs w:val="22"/>
        </w:rPr>
      </w:pPr>
      <w:r w:rsidRPr="00A559BB">
        <w:rPr>
          <w:rFonts w:ascii="Tahoma" w:hAnsi="Tahoma" w:cs="Tahoma"/>
          <w:sz w:val="22"/>
          <w:szCs w:val="22"/>
        </w:rPr>
        <w:t xml:space="preserve">Le médecin du travail est </w:t>
      </w:r>
      <w:proofErr w:type="gramStart"/>
      <w:r w:rsidRPr="00A559BB">
        <w:rPr>
          <w:rFonts w:ascii="Tahoma" w:hAnsi="Tahoma" w:cs="Tahoma"/>
          <w:sz w:val="22"/>
          <w:szCs w:val="22"/>
        </w:rPr>
        <w:t>seul habilité</w:t>
      </w:r>
      <w:proofErr w:type="gramEnd"/>
      <w:r w:rsidRPr="00A559BB">
        <w:rPr>
          <w:rFonts w:ascii="Tahoma" w:hAnsi="Tahoma" w:cs="Tahoma"/>
          <w:sz w:val="22"/>
          <w:szCs w:val="22"/>
        </w:rPr>
        <w:t xml:space="preserve"> à proposer des aménagements de poste de travail ou de conditions d'exercice des fonctions, justifiés par l'âge, la résistance physique ou l'état de santé des agents.</w:t>
      </w:r>
    </w:p>
    <w:p w14:paraId="5ABADC55" w14:textId="77777777" w:rsidR="00A559BB" w:rsidRPr="00A559BB" w:rsidRDefault="00A559BB" w:rsidP="00A559BB">
      <w:pPr>
        <w:pStyle w:val="Sansinterligne"/>
        <w:spacing w:before="120" w:after="200"/>
        <w:jc w:val="both"/>
        <w:rPr>
          <w:rFonts w:ascii="Tahoma" w:hAnsi="Tahoma" w:cs="Tahoma"/>
          <w:sz w:val="22"/>
          <w:szCs w:val="22"/>
        </w:rPr>
      </w:pPr>
      <w:r w:rsidRPr="00A559BB">
        <w:rPr>
          <w:rFonts w:ascii="Tahoma" w:hAnsi="Tahoma" w:cs="Tahoma"/>
          <w:sz w:val="22"/>
          <w:szCs w:val="22"/>
        </w:rPr>
        <w:t>Il peut également proposer des aménagements temporaires de postes de travail ou de conditions d'exercice des fonctions au bénéfice des femmes enceintes, venant d'accoucher ou allaitantes.</w:t>
      </w:r>
    </w:p>
    <w:p w14:paraId="2AE5365E" w14:textId="17B6A1DB"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 xml:space="preserve">Lorsque l’autorité ne suit pas l’avis du service de médecine préventive, sa décision doit être motivée et </w:t>
      </w:r>
      <w:r w:rsidR="00574421">
        <w:rPr>
          <w:rFonts w:ascii="Tahoma" w:hAnsi="Tahoma" w:cs="Tahoma"/>
          <w:sz w:val="22"/>
          <w:szCs w:val="22"/>
        </w:rPr>
        <w:t xml:space="preserve">la </w:t>
      </w:r>
      <w:r w:rsidR="00574421">
        <w:rPr>
          <w:rFonts w:ascii="Tahoma" w:hAnsi="Tahoma" w:cs="Tahoma"/>
          <w:sz w:val="22"/>
          <w:szCs w:val="22"/>
        </w:rPr>
        <w:t xml:space="preserve">formation spécialisée en matière de santé, de sécurité et des conditions de travail ou, à défaut, </w:t>
      </w:r>
      <w:r w:rsidR="00574421">
        <w:rPr>
          <w:rFonts w:ascii="Tahoma" w:hAnsi="Tahoma" w:cs="Tahoma"/>
          <w:sz w:val="22"/>
          <w:szCs w:val="22"/>
        </w:rPr>
        <w:t>le</w:t>
      </w:r>
      <w:r w:rsidR="00574421">
        <w:rPr>
          <w:rFonts w:ascii="Tahoma" w:hAnsi="Tahoma" w:cs="Tahoma"/>
          <w:sz w:val="22"/>
          <w:szCs w:val="22"/>
        </w:rPr>
        <w:t xml:space="preserve"> comité social territorial</w:t>
      </w:r>
      <w:r w:rsidRPr="005A4DD2">
        <w:rPr>
          <w:rFonts w:ascii="Tahoma" w:hAnsi="Tahoma" w:cs="Tahoma"/>
          <w:sz w:val="22"/>
          <w:szCs w:val="22"/>
        </w:rPr>
        <w:t>, doit en être informé.</w:t>
      </w:r>
    </w:p>
    <w:p w14:paraId="36638632" w14:textId="77777777" w:rsid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 service de médecine préventive est informé par l’autorité territoriale dans les plus brefs délais de chaque accident de service et de chaque maladie professionnelle ou à caractère professionnel.</w:t>
      </w:r>
    </w:p>
    <w:p w14:paraId="4DF1162C" w14:textId="77777777" w:rsidR="003E154B" w:rsidRPr="003E154B" w:rsidRDefault="003E154B" w:rsidP="005A4DD2">
      <w:pPr>
        <w:pStyle w:val="Sansinterligne"/>
        <w:spacing w:before="120" w:after="200"/>
        <w:jc w:val="both"/>
        <w:rPr>
          <w:rFonts w:ascii="Tahoma" w:hAnsi="Tahoma" w:cs="Tahoma"/>
          <w:sz w:val="10"/>
          <w:szCs w:val="10"/>
        </w:rPr>
      </w:pPr>
    </w:p>
    <w:p w14:paraId="39931474" w14:textId="34EC737F" w:rsidR="005A4DD2" w:rsidRPr="005A4DD2" w:rsidRDefault="005A4DD2" w:rsidP="00AE0435">
      <w:pPr>
        <w:pStyle w:val="Titre3"/>
      </w:pPr>
      <w:r w:rsidRPr="005A4DD2">
        <w:lastRenderedPageBreak/>
        <w:t>ARTICLE 8</w:t>
      </w:r>
    </w:p>
    <w:p w14:paraId="5A8486DF" w14:textId="77777777" w:rsidR="005A4DD2" w:rsidRPr="005A4DD2" w:rsidRDefault="005A4DD2" w:rsidP="00AE0435">
      <w:pPr>
        <w:pStyle w:val="Titre4"/>
        <w:spacing w:before="0"/>
      </w:pPr>
      <w:r w:rsidRPr="005A4DD2">
        <w:t>Organisation des visites</w:t>
      </w:r>
    </w:p>
    <w:p w14:paraId="293705F6" w14:textId="77777777" w:rsidR="00AE0435" w:rsidRDefault="005A4DD2" w:rsidP="00AE0435">
      <w:pPr>
        <w:pStyle w:val="Sansinterligne"/>
        <w:numPr>
          <w:ilvl w:val="0"/>
          <w:numId w:val="7"/>
        </w:numPr>
        <w:spacing w:before="120" w:after="120"/>
        <w:ind w:left="714" w:hanging="357"/>
        <w:jc w:val="both"/>
        <w:rPr>
          <w:rFonts w:ascii="Tahoma" w:hAnsi="Tahoma" w:cs="Tahoma"/>
          <w:sz w:val="22"/>
          <w:szCs w:val="22"/>
        </w:rPr>
      </w:pPr>
      <w:r w:rsidRPr="005A4DD2">
        <w:rPr>
          <w:rFonts w:ascii="Tahoma" w:hAnsi="Tahoma" w:cs="Tahoma"/>
          <w:sz w:val="22"/>
          <w:szCs w:val="22"/>
        </w:rPr>
        <w:t>Les convocations établies par le service de médecine préventive seront adressées à l’adhérent 15 jours avant la date fixée pour l’examen, sauf cas d’urgence. Les agents intéressés seront avertis par le responsable de l’organisme adhérent dix jours avant l’examen afin que ceux-ci puissent se munir de tout document médical qu’ils désireraient soumettre au professionnel de santé et notamment du carnet de vaccination. Le planning établit par l’organisme adhérent, avec le nom des agents convoqués, doit être transmis 7 jours avant la visite au secrétariat médical.</w:t>
      </w:r>
    </w:p>
    <w:p w14:paraId="3EEC65E4" w14:textId="77777777" w:rsidR="00AE0435" w:rsidRDefault="005A4DD2" w:rsidP="00AE0435">
      <w:pPr>
        <w:pStyle w:val="Sansinterligne"/>
        <w:numPr>
          <w:ilvl w:val="0"/>
          <w:numId w:val="7"/>
        </w:numPr>
        <w:spacing w:before="120" w:after="120"/>
        <w:ind w:left="714" w:hanging="357"/>
        <w:jc w:val="both"/>
        <w:rPr>
          <w:rFonts w:ascii="Tahoma" w:hAnsi="Tahoma" w:cs="Tahoma"/>
          <w:sz w:val="22"/>
          <w:szCs w:val="22"/>
        </w:rPr>
      </w:pPr>
      <w:r w:rsidRPr="00AE0435">
        <w:rPr>
          <w:rFonts w:ascii="Tahoma" w:hAnsi="Tahoma" w:cs="Tahoma"/>
          <w:sz w:val="22"/>
          <w:szCs w:val="22"/>
        </w:rPr>
        <w:t>En cas d’absence sans motif valable d’un agent, la visite sera facturée à l’adhérent, si le service médical n’a pas été prévenu 72 heures avant. Il appartient à l’adhérent d’informer ses agents du caractère obligatoire des examens médicaux.</w:t>
      </w:r>
    </w:p>
    <w:p w14:paraId="0E0DA629" w14:textId="2161AB89" w:rsidR="005A4DD2" w:rsidRDefault="005A4DD2" w:rsidP="00AE0435">
      <w:pPr>
        <w:pStyle w:val="Sansinterligne"/>
        <w:numPr>
          <w:ilvl w:val="0"/>
          <w:numId w:val="7"/>
        </w:numPr>
        <w:spacing w:before="120" w:after="120"/>
        <w:ind w:left="714" w:hanging="357"/>
        <w:jc w:val="both"/>
        <w:rPr>
          <w:rFonts w:ascii="Tahoma" w:hAnsi="Tahoma" w:cs="Tahoma"/>
          <w:sz w:val="22"/>
          <w:szCs w:val="22"/>
        </w:rPr>
      </w:pPr>
      <w:r w:rsidRPr="00AE0435">
        <w:rPr>
          <w:rFonts w:ascii="Tahoma" w:hAnsi="Tahoma" w:cs="Tahoma"/>
          <w:sz w:val="22"/>
          <w:szCs w:val="22"/>
        </w:rPr>
        <w:t>Pour l’organisation de l’ensemble des visites</w:t>
      </w:r>
      <w:r w:rsidR="007F2AAE">
        <w:rPr>
          <w:rFonts w:ascii="Tahoma" w:hAnsi="Tahoma" w:cs="Tahoma"/>
          <w:sz w:val="22"/>
          <w:szCs w:val="22"/>
        </w:rPr>
        <w:t xml:space="preserve"> ou réunion ou action en milieu professionnel</w:t>
      </w:r>
      <w:r w:rsidRPr="00AE0435">
        <w:rPr>
          <w:rFonts w:ascii="Tahoma" w:hAnsi="Tahoma" w:cs="Tahoma"/>
          <w:sz w:val="22"/>
          <w:szCs w:val="22"/>
        </w:rPr>
        <w:t>, l’employeur doit prendre directement contact avec la secrétaire médicale, pour obtenir un rendez-vous avec le professionnel de santé.</w:t>
      </w:r>
    </w:p>
    <w:p w14:paraId="028084EC" w14:textId="77777777" w:rsidR="003E154B" w:rsidRPr="003E154B" w:rsidRDefault="003E154B" w:rsidP="003E154B">
      <w:pPr>
        <w:pStyle w:val="Sansinterligne"/>
        <w:spacing w:before="120" w:after="120"/>
        <w:ind w:left="357"/>
        <w:jc w:val="both"/>
        <w:rPr>
          <w:rFonts w:ascii="Tahoma" w:hAnsi="Tahoma" w:cs="Tahoma"/>
          <w:sz w:val="10"/>
          <w:szCs w:val="10"/>
        </w:rPr>
      </w:pPr>
    </w:p>
    <w:p w14:paraId="3CAC2D90" w14:textId="77777777" w:rsidR="005A4DD2" w:rsidRPr="005A4DD2" w:rsidRDefault="005A4DD2" w:rsidP="00AE0435">
      <w:pPr>
        <w:pStyle w:val="Titre3"/>
      </w:pPr>
      <w:r w:rsidRPr="005A4DD2">
        <w:t>ARTICLE 9</w:t>
      </w:r>
    </w:p>
    <w:p w14:paraId="345CCFC5" w14:textId="77777777" w:rsidR="005A4DD2" w:rsidRPr="005A4DD2" w:rsidRDefault="005A4DD2" w:rsidP="00AE0435">
      <w:pPr>
        <w:pStyle w:val="Titre4"/>
        <w:spacing w:before="0"/>
      </w:pPr>
      <w:r w:rsidRPr="005A4DD2">
        <w:t>Tarifs</w:t>
      </w:r>
    </w:p>
    <w:p w14:paraId="679B85F7" w14:textId="77777777" w:rsidR="005A4DD2" w:rsidRPr="005A4DD2" w:rsidRDefault="005A4DD2" w:rsidP="00AE0435">
      <w:pPr>
        <w:pStyle w:val="Sansinterligne"/>
        <w:spacing w:before="120" w:after="120"/>
        <w:jc w:val="both"/>
        <w:rPr>
          <w:rFonts w:ascii="Tahoma" w:hAnsi="Tahoma" w:cs="Tahoma"/>
          <w:sz w:val="22"/>
          <w:szCs w:val="22"/>
        </w:rPr>
      </w:pPr>
      <w:r w:rsidRPr="005A4DD2">
        <w:rPr>
          <w:rFonts w:ascii="Tahoma" w:hAnsi="Tahoma" w:cs="Tahoma"/>
          <w:sz w:val="22"/>
          <w:szCs w:val="22"/>
        </w:rPr>
        <w:t xml:space="preserve">Le coût annuel de la surveillance médicale, pour un agent, des actions en milieu professionnel, est fixé par le conseil d’administration du Centre de Gestion. </w:t>
      </w:r>
    </w:p>
    <w:p w14:paraId="6BFB623F" w14:textId="78F13989" w:rsidR="00236A26" w:rsidRPr="00236A26" w:rsidRDefault="00236A26" w:rsidP="00236A26">
      <w:pPr>
        <w:pStyle w:val="Sansinterligne"/>
        <w:spacing w:before="120" w:after="120"/>
        <w:jc w:val="both"/>
        <w:rPr>
          <w:rFonts w:ascii="Tahoma" w:hAnsi="Tahoma" w:cs="Tahoma"/>
          <w:sz w:val="22"/>
          <w:szCs w:val="22"/>
        </w:rPr>
      </w:pPr>
      <w:r w:rsidRPr="00236A26">
        <w:rPr>
          <w:rFonts w:ascii="Tahoma" w:hAnsi="Tahoma" w:cs="Tahoma"/>
          <w:sz w:val="22"/>
          <w:szCs w:val="22"/>
        </w:rPr>
        <w:t>Pour les agents travaillant dans plusieurs collectivités, le suivi médical est à la charge de l’employeur pour lequel ils effectuent la quotité horaire la plus longue.</w:t>
      </w:r>
    </w:p>
    <w:p w14:paraId="71222929" w14:textId="77777777" w:rsidR="003E154B" w:rsidRPr="003E154B" w:rsidRDefault="003E154B" w:rsidP="00AE0435">
      <w:pPr>
        <w:pStyle w:val="Sansinterligne"/>
        <w:spacing w:before="120" w:after="120"/>
        <w:jc w:val="both"/>
        <w:rPr>
          <w:rFonts w:ascii="Tahoma" w:hAnsi="Tahoma" w:cs="Tahoma"/>
          <w:sz w:val="10"/>
          <w:szCs w:val="10"/>
        </w:rPr>
      </w:pPr>
    </w:p>
    <w:p w14:paraId="4C009EAE" w14:textId="77777777" w:rsidR="005A4DD2" w:rsidRPr="005A4DD2" w:rsidRDefault="005A4DD2" w:rsidP="00AE0435">
      <w:pPr>
        <w:pStyle w:val="Titre3"/>
      </w:pPr>
      <w:r w:rsidRPr="005A4DD2">
        <w:t>ARTICLE 10</w:t>
      </w:r>
    </w:p>
    <w:p w14:paraId="4ED455F9" w14:textId="77777777" w:rsidR="005A4DD2" w:rsidRDefault="005A4DD2" w:rsidP="00AE0435">
      <w:pPr>
        <w:pStyle w:val="Sansinterligne"/>
        <w:spacing w:before="120" w:after="120"/>
        <w:jc w:val="both"/>
        <w:rPr>
          <w:rFonts w:ascii="Tahoma" w:hAnsi="Tahoma" w:cs="Tahoma"/>
          <w:sz w:val="22"/>
          <w:szCs w:val="22"/>
        </w:rPr>
      </w:pPr>
      <w:r w:rsidRPr="005A4DD2">
        <w:rPr>
          <w:rFonts w:ascii="Tahoma" w:hAnsi="Tahoma" w:cs="Tahoma"/>
          <w:sz w:val="22"/>
          <w:szCs w:val="22"/>
        </w:rPr>
        <w:t>A l’issue de chaque examen médical, le professionnel de santé établit une fiche de visite ou une attestation de suivi en double exemplaire. Il en remet un exemplaire à l’agent et un à l’adhérent.</w:t>
      </w:r>
    </w:p>
    <w:p w14:paraId="6B43F6B5" w14:textId="77777777" w:rsidR="003E154B" w:rsidRPr="003E154B" w:rsidRDefault="003E154B" w:rsidP="00AE0435">
      <w:pPr>
        <w:pStyle w:val="Sansinterligne"/>
        <w:spacing w:before="120" w:after="120"/>
        <w:jc w:val="both"/>
        <w:rPr>
          <w:rFonts w:ascii="Tahoma" w:hAnsi="Tahoma" w:cs="Tahoma"/>
          <w:sz w:val="10"/>
          <w:szCs w:val="10"/>
        </w:rPr>
      </w:pPr>
    </w:p>
    <w:p w14:paraId="42F3065A" w14:textId="77777777" w:rsidR="005A4DD2" w:rsidRPr="005A4DD2" w:rsidRDefault="005A4DD2" w:rsidP="00AE0435">
      <w:pPr>
        <w:pStyle w:val="Titre3"/>
      </w:pPr>
      <w:r w:rsidRPr="005A4DD2">
        <w:t>ARTICLE 11</w:t>
      </w:r>
    </w:p>
    <w:p w14:paraId="00477CD2" w14:textId="7FA8F8D9" w:rsidR="005A4DD2" w:rsidRPr="005A4DD2" w:rsidRDefault="005A4DD2" w:rsidP="00AE0435">
      <w:pPr>
        <w:pStyle w:val="Sansinterligne"/>
        <w:spacing w:before="120" w:after="120"/>
        <w:jc w:val="both"/>
        <w:rPr>
          <w:rFonts w:ascii="Tahoma" w:hAnsi="Tahoma" w:cs="Tahoma"/>
          <w:sz w:val="22"/>
          <w:szCs w:val="22"/>
        </w:rPr>
      </w:pPr>
      <w:r w:rsidRPr="005A4DD2">
        <w:rPr>
          <w:rFonts w:ascii="Tahoma" w:hAnsi="Tahoma" w:cs="Tahoma"/>
          <w:sz w:val="22"/>
          <w:szCs w:val="22"/>
        </w:rPr>
        <w:t>Lorsqu’il existe, dans la structure adhérente, un</w:t>
      </w:r>
      <w:r w:rsidR="00236A26">
        <w:rPr>
          <w:rFonts w:ascii="Tahoma" w:hAnsi="Tahoma" w:cs="Tahoma"/>
          <w:sz w:val="22"/>
          <w:szCs w:val="22"/>
        </w:rPr>
        <w:t>e</w:t>
      </w:r>
      <w:r w:rsidRPr="005A4DD2">
        <w:rPr>
          <w:rFonts w:ascii="Tahoma" w:hAnsi="Tahoma" w:cs="Tahoma"/>
          <w:sz w:val="22"/>
          <w:szCs w:val="22"/>
        </w:rPr>
        <w:t xml:space="preserve"> </w:t>
      </w:r>
      <w:r w:rsidR="00236A26">
        <w:rPr>
          <w:rFonts w:ascii="Tahoma" w:hAnsi="Tahoma" w:cs="Tahoma"/>
          <w:sz w:val="22"/>
          <w:szCs w:val="22"/>
        </w:rPr>
        <w:t xml:space="preserve">formation spécialisée en matière de santé, de sécurité et des conditions de travail ou, à défaut, </w:t>
      </w:r>
      <w:r w:rsidR="00236A26">
        <w:rPr>
          <w:rFonts w:ascii="Tahoma" w:hAnsi="Tahoma" w:cs="Tahoma"/>
          <w:sz w:val="22"/>
          <w:szCs w:val="22"/>
        </w:rPr>
        <w:t>un</w:t>
      </w:r>
      <w:r w:rsidR="00236A26">
        <w:rPr>
          <w:rFonts w:ascii="Tahoma" w:hAnsi="Tahoma" w:cs="Tahoma"/>
          <w:sz w:val="22"/>
          <w:szCs w:val="22"/>
        </w:rPr>
        <w:t xml:space="preserve"> comité social territorial</w:t>
      </w:r>
      <w:r w:rsidRPr="005A4DD2">
        <w:rPr>
          <w:rFonts w:ascii="Tahoma" w:hAnsi="Tahoma" w:cs="Tahoma"/>
          <w:sz w:val="22"/>
          <w:szCs w:val="22"/>
        </w:rPr>
        <w:t>, l’employeur doit veiller à ce que l’un des professionnels de santé du service médical puisse assister avec voix consultative et soit convoqué en temps utile à chacune de ces réunions.</w:t>
      </w:r>
    </w:p>
    <w:p w14:paraId="518C3AC3" w14:textId="77777777" w:rsidR="005A4DD2" w:rsidRDefault="005A4DD2" w:rsidP="00AE0435">
      <w:pPr>
        <w:pStyle w:val="Sansinterligne"/>
        <w:spacing w:before="120" w:after="120"/>
        <w:jc w:val="both"/>
        <w:rPr>
          <w:rFonts w:ascii="Tahoma" w:hAnsi="Tahoma" w:cs="Tahoma"/>
          <w:sz w:val="22"/>
          <w:szCs w:val="22"/>
        </w:rPr>
      </w:pPr>
      <w:r w:rsidRPr="005A4DD2">
        <w:rPr>
          <w:rFonts w:ascii="Tahoma" w:hAnsi="Tahoma" w:cs="Tahoma"/>
          <w:sz w:val="22"/>
          <w:szCs w:val="22"/>
        </w:rPr>
        <w:t xml:space="preserve">Le service de médecine préventive établit chaque année un rapport d’activité qui est transmis à l’adhérent et à l’organisme compétent en matière d’hygiène et de sécurité. </w:t>
      </w:r>
    </w:p>
    <w:p w14:paraId="58DAF9E5" w14:textId="77777777" w:rsidR="003E154B" w:rsidRPr="003E154B" w:rsidRDefault="003E154B" w:rsidP="00AE0435">
      <w:pPr>
        <w:pStyle w:val="Sansinterligne"/>
        <w:spacing w:before="120" w:after="120"/>
        <w:jc w:val="both"/>
        <w:rPr>
          <w:rFonts w:ascii="Tahoma" w:hAnsi="Tahoma" w:cs="Tahoma"/>
          <w:sz w:val="10"/>
          <w:szCs w:val="10"/>
        </w:rPr>
      </w:pPr>
    </w:p>
    <w:p w14:paraId="0BB726B5" w14:textId="77777777" w:rsidR="005A4DD2" w:rsidRPr="005A4DD2" w:rsidRDefault="005A4DD2" w:rsidP="00AE0435">
      <w:pPr>
        <w:pStyle w:val="Titre3"/>
      </w:pPr>
      <w:r w:rsidRPr="005A4DD2">
        <w:t>ARTICLE 12</w:t>
      </w:r>
    </w:p>
    <w:p w14:paraId="0C54A3C8" w14:textId="77777777" w:rsidR="005A4DD2" w:rsidRPr="005A4DD2" w:rsidRDefault="005A4DD2" w:rsidP="00AE0435">
      <w:pPr>
        <w:pStyle w:val="Titre4"/>
        <w:spacing w:before="0"/>
      </w:pPr>
      <w:r w:rsidRPr="005A4DD2">
        <w:t>Secret médica</w:t>
      </w:r>
      <w:r w:rsidR="00AE0435">
        <w:t>l</w:t>
      </w:r>
    </w:p>
    <w:p w14:paraId="261BE1B6" w14:textId="77777777" w:rsidR="005A4DD2" w:rsidRDefault="005A4DD2" w:rsidP="00AE0435">
      <w:pPr>
        <w:pStyle w:val="Sansinterligne"/>
        <w:spacing w:before="120" w:after="120"/>
        <w:jc w:val="both"/>
        <w:rPr>
          <w:rFonts w:ascii="Tahoma" w:hAnsi="Tahoma" w:cs="Tahoma"/>
          <w:sz w:val="22"/>
          <w:szCs w:val="22"/>
        </w:rPr>
      </w:pPr>
      <w:r w:rsidRPr="005A4DD2">
        <w:rPr>
          <w:rFonts w:ascii="Tahoma" w:hAnsi="Tahoma" w:cs="Tahoma"/>
          <w:sz w:val="22"/>
          <w:szCs w:val="22"/>
        </w:rPr>
        <w:t>Toutes dispositions sont prises par le Centre Départemental de Gestion et les adhérents au service, pour que le secret médical soit respecté dans les locaux mis à la disposition des professionnels de santé, notamment en ce qui concerne le courrier, les modalités de conservation des dossiers médicaux et l’isolement acoustique des locaux d’examen.</w:t>
      </w:r>
    </w:p>
    <w:p w14:paraId="46AC9CCE" w14:textId="77777777" w:rsidR="003E154B" w:rsidRPr="003E154B" w:rsidRDefault="003E154B" w:rsidP="00AE0435">
      <w:pPr>
        <w:pStyle w:val="Sansinterligne"/>
        <w:spacing w:before="120" w:after="120"/>
        <w:jc w:val="both"/>
        <w:rPr>
          <w:rFonts w:ascii="Tahoma" w:hAnsi="Tahoma" w:cs="Tahoma"/>
          <w:sz w:val="10"/>
          <w:szCs w:val="10"/>
        </w:rPr>
      </w:pPr>
    </w:p>
    <w:p w14:paraId="16AEC37C" w14:textId="77777777" w:rsidR="00AE0435" w:rsidRPr="00AE0435" w:rsidRDefault="005A4DD2" w:rsidP="00AE0435">
      <w:pPr>
        <w:pStyle w:val="Titre3"/>
      </w:pPr>
      <w:r w:rsidRPr="005A4DD2">
        <w:lastRenderedPageBreak/>
        <w:t xml:space="preserve">ARTICLE 13 </w:t>
      </w:r>
    </w:p>
    <w:p w14:paraId="498E20A5" w14:textId="77777777" w:rsidR="005A4DD2" w:rsidRPr="005A4DD2" w:rsidRDefault="005A4DD2" w:rsidP="00E33C19">
      <w:pPr>
        <w:pStyle w:val="Titre4"/>
        <w:spacing w:before="0"/>
      </w:pPr>
      <w:r w:rsidRPr="005A4DD2">
        <w:t xml:space="preserve">Adoption et modification du règlement intérieur </w:t>
      </w:r>
    </w:p>
    <w:p w14:paraId="6C874769" w14:textId="77777777" w:rsidR="005A4DD2" w:rsidRPr="005A4DD2" w:rsidRDefault="005A4DD2" w:rsidP="005A4DD2">
      <w:pPr>
        <w:pStyle w:val="Sansinterligne"/>
        <w:spacing w:before="120" w:after="200"/>
        <w:jc w:val="both"/>
        <w:rPr>
          <w:rFonts w:ascii="Tahoma" w:hAnsi="Tahoma" w:cs="Tahoma"/>
          <w:sz w:val="22"/>
          <w:szCs w:val="22"/>
        </w:rPr>
      </w:pPr>
      <w:r w:rsidRPr="005A4DD2">
        <w:rPr>
          <w:rFonts w:ascii="Tahoma" w:hAnsi="Tahoma" w:cs="Tahoma"/>
          <w:sz w:val="22"/>
          <w:szCs w:val="22"/>
        </w:rPr>
        <w:t>Le présent règlement intérieur, adopté par le Conseil d’Administration, est opposable aux collectivités adhérentes au service de médecine préventive. Toute modification de ce règlement devra être approuvée par le Conseil d’Administration.</w:t>
      </w:r>
    </w:p>
    <w:sectPr w:rsidR="005A4DD2" w:rsidRPr="005A4DD2" w:rsidSect="00AE0435">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F7EB" w14:textId="77777777" w:rsidR="00AE0435" w:rsidRDefault="00AE0435" w:rsidP="00AE0435">
      <w:pPr>
        <w:spacing w:before="0" w:after="0" w:line="240" w:lineRule="auto"/>
      </w:pPr>
      <w:r>
        <w:separator/>
      </w:r>
    </w:p>
  </w:endnote>
  <w:endnote w:type="continuationSeparator" w:id="0">
    <w:p w14:paraId="55818E15" w14:textId="77777777" w:rsidR="00AE0435" w:rsidRDefault="00AE0435" w:rsidP="00AE04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1ADF" w14:textId="77777777" w:rsidR="00AE0435" w:rsidRPr="00AE0435" w:rsidRDefault="00AE0435" w:rsidP="00AE0435">
    <w:pPr>
      <w:pStyle w:val="Pieddepage"/>
      <w:jc w:val="right"/>
      <w:rPr>
        <w:rFonts w:ascii="Tahoma" w:hAnsi="Tahoma" w:cs="Tahoma"/>
        <w:color w:val="330A41" w:themeColor="text2"/>
        <w:sz w:val="12"/>
      </w:rPr>
    </w:pPr>
    <w:r w:rsidRPr="00AE0435">
      <w:rPr>
        <w:rFonts w:ascii="Tahoma" w:hAnsi="Tahoma" w:cs="Tahoma"/>
        <w:b/>
        <w:bCs/>
        <w:color w:val="330A41" w:themeColor="text2"/>
        <w:sz w:val="16"/>
      </w:rPr>
      <w:fldChar w:fldCharType="begin"/>
    </w:r>
    <w:r w:rsidRPr="00AE0435">
      <w:rPr>
        <w:rFonts w:ascii="Tahoma" w:hAnsi="Tahoma" w:cs="Tahoma"/>
        <w:b/>
        <w:bCs/>
        <w:color w:val="330A41" w:themeColor="text2"/>
        <w:sz w:val="16"/>
      </w:rPr>
      <w:instrText>PAGE  \* Arabic  \* MERGEFORMAT</w:instrText>
    </w:r>
    <w:r w:rsidRPr="00AE0435">
      <w:rPr>
        <w:rFonts w:ascii="Tahoma" w:hAnsi="Tahoma" w:cs="Tahoma"/>
        <w:b/>
        <w:bCs/>
        <w:color w:val="330A41" w:themeColor="text2"/>
        <w:sz w:val="16"/>
      </w:rPr>
      <w:fldChar w:fldCharType="separate"/>
    </w:r>
    <w:r w:rsidRPr="00AE0435">
      <w:rPr>
        <w:rFonts w:ascii="Tahoma" w:hAnsi="Tahoma" w:cs="Tahoma"/>
        <w:b/>
        <w:bCs/>
        <w:color w:val="330A41" w:themeColor="text2"/>
        <w:sz w:val="16"/>
      </w:rPr>
      <w:t>1</w:t>
    </w:r>
    <w:r w:rsidRPr="00AE0435">
      <w:rPr>
        <w:rFonts w:ascii="Tahoma" w:hAnsi="Tahoma" w:cs="Tahoma"/>
        <w:b/>
        <w:bCs/>
        <w:color w:val="330A41" w:themeColor="text2"/>
        <w:sz w:val="16"/>
      </w:rPr>
      <w:fldChar w:fldCharType="end"/>
    </w:r>
    <w:r>
      <w:rPr>
        <w:rFonts w:ascii="Tahoma" w:hAnsi="Tahoma" w:cs="Tahoma"/>
        <w:color w:val="330A41" w:themeColor="text2"/>
        <w:sz w:val="16"/>
      </w:rPr>
      <w:t>/</w:t>
    </w:r>
    <w:r w:rsidRPr="00AE0435">
      <w:rPr>
        <w:rFonts w:ascii="Tahoma" w:hAnsi="Tahoma" w:cs="Tahoma"/>
        <w:b/>
        <w:bCs/>
        <w:color w:val="330A41" w:themeColor="text2"/>
        <w:sz w:val="16"/>
      </w:rPr>
      <w:fldChar w:fldCharType="begin"/>
    </w:r>
    <w:r w:rsidRPr="00AE0435">
      <w:rPr>
        <w:rFonts w:ascii="Tahoma" w:hAnsi="Tahoma" w:cs="Tahoma"/>
        <w:b/>
        <w:bCs/>
        <w:color w:val="330A41" w:themeColor="text2"/>
        <w:sz w:val="16"/>
      </w:rPr>
      <w:instrText>NUMPAGES  \* Arabic  \* MERGEFORMAT</w:instrText>
    </w:r>
    <w:r w:rsidRPr="00AE0435">
      <w:rPr>
        <w:rFonts w:ascii="Tahoma" w:hAnsi="Tahoma" w:cs="Tahoma"/>
        <w:b/>
        <w:bCs/>
        <w:color w:val="330A41" w:themeColor="text2"/>
        <w:sz w:val="16"/>
      </w:rPr>
      <w:fldChar w:fldCharType="separate"/>
    </w:r>
    <w:r w:rsidRPr="00AE0435">
      <w:rPr>
        <w:rFonts w:ascii="Tahoma" w:hAnsi="Tahoma" w:cs="Tahoma"/>
        <w:b/>
        <w:bCs/>
        <w:color w:val="330A41" w:themeColor="text2"/>
        <w:sz w:val="16"/>
      </w:rPr>
      <w:t>2</w:t>
    </w:r>
    <w:r w:rsidRPr="00AE0435">
      <w:rPr>
        <w:rFonts w:ascii="Tahoma" w:hAnsi="Tahoma" w:cs="Tahoma"/>
        <w:b/>
        <w:bCs/>
        <w:color w:val="330A41" w:themeColor="tex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563D" w14:textId="77777777" w:rsidR="00AE0435" w:rsidRDefault="00AE0435" w:rsidP="00AE0435">
      <w:pPr>
        <w:spacing w:before="0" w:after="0" w:line="240" w:lineRule="auto"/>
      </w:pPr>
      <w:r>
        <w:separator/>
      </w:r>
    </w:p>
  </w:footnote>
  <w:footnote w:type="continuationSeparator" w:id="0">
    <w:p w14:paraId="1B06CF62" w14:textId="77777777" w:rsidR="00AE0435" w:rsidRDefault="00AE0435" w:rsidP="00AE04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CC1"/>
    <w:multiLevelType w:val="hybridMultilevel"/>
    <w:tmpl w:val="6D0E53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7582B"/>
    <w:multiLevelType w:val="hybridMultilevel"/>
    <w:tmpl w:val="63984D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10470C0"/>
    <w:multiLevelType w:val="hybridMultilevel"/>
    <w:tmpl w:val="ADF05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2841E1"/>
    <w:multiLevelType w:val="hybridMultilevel"/>
    <w:tmpl w:val="31305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F3A2900"/>
    <w:multiLevelType w:val="hybridMultilevel"/>
    <w:tmpl w:val="9CB8A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BE1646"/>
    <w:multiLevelType w:val="hybridMultilevel"/>
    <w:tmpl w:val="26841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1F5CE3"/>
    <w:multiLevelType w:val="hybridMultilevel"/>
    <w:tmpl w:val="96A8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F5466B"/>
    <w:multiLevelType w:val="hybridMultilevel"/>
    <w:tmpl w:val="8CF635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1244413">
    <w:abstractNumId w:val="0"/>
  </w:num>
  <w:num w:numId="2" w16cid:durableId="327712525">
    <w:abstractNumId w:val="7"/>
  </w:num>
  <w:num w:numId="3" w16cid:durableId="797534312">
    <w:abstractNumId w:val="6"/>
  </w:num>
  <w:num w:numId="4" w16cid:durableId="114183781">
    <w:abstractNumId w:val="4"/>
  </w:num>
  <w:num w:numId="5" w16cid:durableId="809053843">
    <w:abstractNumId w:val="3"/>
  </w:num>
  <w:num w:numId="6" w16cid:durableId="340011234">
    <w:abstractNumId w:val="5"/>
  </w:num>
  <w:num w:numId="7" w16cid:durableId="323317939">
    <w:abstractNumId w:val="2"/>
  </w:num>
  <w:num w:numId="8" w16cid:durableId="165275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DB"/>
    <w:rsid w:val="000912D9"/>
    <w:rsid w:val="000A76E9"/>
    <w:rsid w:val="00236A26"/>
    <w:rsid w:val="002D5366"/>
    <w:rsid w:val="003E154B"/>
    <w:rsid w:val="00422917"/>
    <w:rsid w:val="00574421"/>
    <w:rsid w:val="005A4DD2"/>
    <w:rsid w:val="00625FDB"/>
    <w:rsid w:val="00653ABC"/>
    <w:rsid w:val="007F2AAE"/>
    <w:rsid w:val="00985D05"/>
    <w:rsid w:val="00A559BB"/>
    <w:rsid w:val="00AE0435"/>
    <w:rsid w:val="00B32E3D"/>
    <w:rsid w:val="00DD71DF"/>
    <w:rsid w:val="00E33C19"/>
    <w:rsid w:val="00E52FA2"/>
    <w:rsid w:val="00F13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A911"/>
  <w15:chartTrackingRefBased/>
  <w15:docId w15:val="{48A83C39-F3A6-4D2C-8460-9A9EC39C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D2"/>
  </w:style>
  <w:style w:type="paragraph" w:styleId="Titre1">
    <w:name w:val="heading 1"/>
    <w:basedOn w:val="Normal"/>
    <w:next w:val="Normal"/>
    <w:link w:val="Titre1Car"/>
    <w:uiPriority w:val="9"/>
    <w:qFormat/>
    <w:rsid w:val="005A4DD2"/>
    <w:pPr>
      <w:pBdr>
        <w:top w:val="single" w:sz="24" w:space="0" w:color="C9435B" w:themeColor="accent1"/>
        <w:left w:val="single" w:sz="24" w:space="0" w:color="C9435B" w:themeColor="accent1"/>
        <w:bottom w:val="single" w:sz="24" w:space="0" w:color="C9435B" w:themeColor="accent1"/>
        <w:right w:val="single" w:sz="24" w:space="0" w:color="C9435B" w:themeColor="accent1"/>
      </w:pBdr>
      <w:shd w:val="clear" w:color="auto" w:fill="C9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A4DD2"/>
    <w:pPr>
      <w:pBdr>
        <w:top w:val="single" w:sz="24" w:space="0" w:color="F4D9DD" w:themeColor="accent1" w:themeTint="33"/>
        <w:left w:val="single" w:sz="24" w:space="0" w:color="F4D9DD" w:themeColor="accent1" w:themeTint="33"/>
        <w:bottom w:val="single" w:sz="24" w:space="0" w:color="F4D9DD" w:themeColor="accent1" w:themeTint="33"/>
        <w:right w:val="single" w:sz="24" w:space="0" w:color="F4D9DD" w:themeColor="accent1" w:themeTint="33"/>
      </w:pBdr>
      <w:shd w:val="clear" w:color="auto" w:fill="F4D9DD"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E0435"/>
    <w:pPr>
      <w:pBdr>
        <w:top w:val="single" w:sz="6" w:space="2" w:color="C9435B" w:themeColor="accent1"/>
      </w:pBdr>
      <w:spacing w:before="200" w:after="0" w:line="240" w:lineRule="auto"/>
      <w:outlineLvl w:val="2"/>
    </w:pPr>
    <w:rPr>
      <w:rFonts w:ascii="Century Gothic" w:hAnsi="Century Gothic"/>
      <w:caps/>
      <w:color w:val="671D2A" w:themeColor="accent1" w:themeShade="7F"/>
      <w:spacing w:val="15"/>
      <w:sz w:val="32"/>
    </w:rPr>
  </w:style>
  <w:style w:type="paragraph" w:styleId="Titre4">
    <w:name w:val="heading 4"/>
    <w:basedOn w:val="Normal"/>
    <w:next w:val="Normal"/>
    <w:link w:val="Titre4Car"/>
    <w:uiPriority w:val="9"/>
    <w:unhideWhenUsed/>
    <w:qFormat/>
    <w:rsid w:val="00E33C19"/>
    <w:pPr>
      <w:pBdr>
        <w:top w:val="dotted" w:sz="6" w:space="2" w:color="C9435B" w:themeColor="accent1"/>
      </w:pBdr>
      <w:spacing w:before="120" w:after="0" w:line="240" w:lineRule="auto"/>
      <w:outlineLvl w:val="3"/>
    </w:pPr>
    <w:rPr>
      <w:caps/>
      <w:color w:val="9B2C40" w:themeColor="accent1" w:themeShade="BF"/>
      <w:spacing w:val="10"/>
    </w:rPr>
  </w:style>
  <w:style w:type="paragraph" w:styleId="Titre5">
    <w:name w:val="heading 5"/>
    <w:basedOn w:val="Normal"/>
    <w:next w:val="Normal"/>
    <w:link w:val="Titre5Car"/>
    <w:uiPriority w:val="9"/>
    <w:semiHidden/>
    <w:unhideWhenUsed/>
    <w:qFormat/>
    <w:rsid w:val="005A4DD2"/>
    <w:pPr>
      <w:pBdr>
        <w:bottom w:val="single" w:sz="6" w:space="1" w:color="C9435B" w:themeColor="accent1"/>
      </w:pBdr>
      <w:spacing w:before="200" w:after="0"/>
      <w:outlineLvl w:val="4"/>
    </w:pPr>
    <w:rPr>
      <w:caps/>
      <w:color w:val="9B2C40" w:themeColor="accent1" w:themeShade="BF"/>
      <w:spacing w:val="10"/>
    </w:rPr>
  </w:style>
  <w:style w:type="paragraph" w:styleId="Titre6">
    <w:name w:val="heading 6"/>
    <w:basedOn w:val="Normal"/>
    <w:next w:val="Normal"/>
    <w:link w:val="Titre6Car"/>
    <w:uiPriority w:val="9"/>
    <w:semiHidden/>
    <w:unhideWhenUsed/>
    <w:qFormat/>
    <w:rsid w:val="005A4DD2"/>
    <w:pPr>
      <w:pBdr>
        <w:bottom w:val="dotted" w:sz="6" w:space="1" w:color="C9435B" w:themeColor="accent1"/>
      </w:pBdr>
      <w:spacing w:before="200" w:after="0"/>
      <w:outlineLvl w:val="5"/>
    </w:pPr>
    <w:rPr>
      <w:caps/>
      <w:color w:val="9B2C40" w:themeColor="accent1" w:themeShade="BF"/>
      <w:spacing w:val="10"/>
    </w:rPr>
  </w:style>
  <w:style w:type="paragraph" w:styleId="Titre7">
    <w:name w:val="heading 7"/>
    <w:basedOn w:val="Normal"/>
    <w:next w:val="Normal"/>
    <w:link w:val="Titre7Car"/>
    <w:uiPriority w:val="9"/>
    <w:semiHidden/>
    <w:unhideWhenUsed/>
    <w:qFormat/>
    <w:rsid w:val="005A4DD2"/>
    <w:pPr>
      <w:spacing w:before="200" w:after="0"/>
      <w:outlineLvl w:val="6"/>
    </w:pPr>
    <w:rPr>
      <w:caps/>
      <w:color w:val="9B2C40" w:themeColor="accent1" w:themeShade="BF"/>
      <w:spacing w:val="10"/>
    </w:rPr>
  </w:style>
  <w:style w:type="paragraph" w:styleId="Titre8">
    <w:name w:val="heading 8"/>
    <w:basedOn w:val="Normal"/>
    <w:next w:val="Normal"/>
    <w:link w:val="Titre8Car"/>
    <w:uiPriority w:val="9"/>
    <w:semiHidden/>
    <w:unhideWhenUsed/>
    <w:qFormat/>
    <w:rsid w:val="005A4DD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A4DD2"/>
    <w:pPr>
      <w:spacing w:before="200" w:after="0"/>
      <w:outlineLvl w:val="8"/>
    </w:pPr>
    <w:rPr>
      <w:i/>
      <w:iCs/>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DD2"/>
    <w:rPr>
      <w:caps/>
      <w:color w:val="FFFFFF" w:themeColor="background1"/>
      <w:spacing w:val="15"/>
      <w:sz w:val="22"/>
      <w:szCs w:val="22"/>
      <w:shd w:val="clear" w:color="auto" w:fill="C9435B" w:themeFill="accent1"/>
    </w:rPr>
  </w:style>
  <w:style w:type="paragraph" w:styleId="Sansinterligne">
    <w:name w:val="No Spacing"/>
    <w:uiPriority w:val="1"/>
    <w:qFormat/>
    <w:rsid w:val="005A4DD2"/>
    <w:pPr>
      <w:spacing w:after="0" w:line="240" w:lineRule="auto"/>
    </w:pPr>
  </w:style>
  <w:style w:type="character" w:customStyle="1" w:styleId="Titre2Car">
    <w:name w:val="Titre 2 Car"/>
    <w:basedOn w:val="Policepardfaut"/>
    <w:link w:val="Titre2"/>
    <w:uiPriority w:val="9"/>
    <w:rsid w:val="005A4DD2"/>
    <w:rPr>
      <w:caps/>
      <w:spacing w:val="15"/>
      <w:shd w:val="clear" w:color="auto" w:fill="F4D9DD" w:themeFill="accent1" w:themeFillTint="33"/>
    </w:rPr>
  </w:style>
  <w:style w:type="character" w:customStyle="1" w:styleId="Titre3Car">
    <w:name w:val="Titre 3 Car"/>
    <w:basedOn w:val="Policepardfaut"/>
    <w:link w:val="Titre3"/>
    <w:uiPriority w:val="9"/>
    <w:rsid w:val="00AE0435"/>
    <w:rPr>
      <w:rFonts w:ascii="Century Gothic" w:hAnsi="Century Gothic"/>
      <w:caps/>
      <w:color w:val="671D2A" w:themeColor="accent1" w:themeShade="7F"/>
      <w:spacing w:val="15"/>
      <w:sz w:val="32"/>
    </w:rPr>
  </w:style>
  <w:style w:type="character" w:customStyle="1" w:styleId="Titre4Car">
    <w:name w:val="Titre 4 Car"/>
    <w:basedOn w:val="Policepardfaut"/>
    <w:link w:val="Titre4"/>
    <w:uiPriority w:val="9"/>
    <w:rsid w:val="00E33C19"/>
    <w:rPr>
      <w:caps/>
      <w:color w:val="9B2C40" w:themeColor="accent1" w:themeShade="BF"/>
      <w:spacing w:val="10"/>
    </w:rPr>
  </w:style>
  <w:style w:type="character" w:customStyle="1" w:styleId="Titre5Car">
    <w:name w:val="Titre 5 Car"/>
    <w:basedOn w:val="Policepardfaut"/>
    <w:link w:val="Titre5"/>
    <w:uiPriority w:val="9"/>
    <w:semiHidden/>
    <w:rsid w:val="005A4DD2"/>
    <w:rPr>
      <w:caps/>
      <w:color w:val="9B2C40" w:themeColor="accent1" w:themeShade="BF"/>
      <w:spacing w:val="10"/>
    </w:rPr>
  </w:style>
  <w:style w:type="character" w:customStyle="1" w:styleId="Titre6Car">
    <w:name w:val="Titre 6 Car"/>
    <w:basedOn w:val="Policepardfaut"/>
    <w:link w:val="Titre6"/>
    <w:uiPriority w:val="9"/>
    <w:semiHidden/>
    <w:rsid w:val="005A4DD2"/>
    <w:rPr>
      <w:caps/>
      <w:color w:val="9B2C40" w:themeColor="accent1" w:themeShade="BF"/>
      <w:spacing w:val="10"/>
    </w:rPr>
  </w:style>
  <w:style w:type="character" w:customStyle="1" w:styleId="Titre7Car">
    <w:name w:val="Titre 7 Car"/>
    <w:basedOn w:val="Policepardfaut"/>
    <w:link w:val="Titre7"/>
    <w:uiPriority w:val="9"/>
    <w:semiHidden/>
    <w:rsid w:val="005A4DD2"/>
    <w:rPr>
      <w:caps/>
      <w:color w:val="9B2C40" w:themeColor="accent1" w:themeShade="BF"/>
      <w:spacing w:val="10"/>
    </w:rPr>
  </w:style>
  <w:style w:type="character" w:customStyle="1" w:styleId="Titre8Car">
    <w:name w:val="Titre 8 Car"/>
    <w:basedOn w:val="Policepardfaut"/>
    <w:link w:val="Titre8"/>
    <w:uiPriority w:val="9"/>
    <w:semiHidden/>
    <w:rsid w:val="005A4DD2"/>
    <w:rPr>
      <w:caps/>
      <w:spacing w:val="10"/>
      <w:sz w:val="18"/>
      <w:szCs w:val="18"/>
    </w:rPr>
  </w:style>
  <w:style w:type="character" w:customStyle="1" w:styleId="Titre9Car">
    <w:name w:val="Titre 9 Car"/>
    <w:basedOn w:val="Policepardfaut"/>
    <w:link w:val="Titre9"/>
    <w:uiPriority w:val="9"/>
    <w:semiHidden/>
    <w:rsid w:val="005A4DD2"/>
    <w:rPr>
      <w:i/>
      <w:iCs/>
      <w:caps/>
      <w:spacing w:val="10"/>
      <w:sz w:val="18"/>
      <w:szCs w:val="18"/>
    </w:rPr>
  </w:style>
  <w:style w:type="paragraph" w:styleId="Lgende">
    <w:name w:val="caption"/>
    <w:basedOn w:val="Normal"/>
    <w:next w:val="Normal"/>
    <w:uiPriority w:val="35"/>
    <w:semiHidden/>
    <w:unhideWhenUsed/>
    <w:qFormat/>
    <w:rsid w:val="005A4DD2"/>
    <w:rPr>
      <w:b/>
      <w:bCs/>
      <w:color w:val="9B2C40" w:themeColor="accent1" w:themeShade="BF"/>
      <w:sz w:val="16"/>
      <w:szCs w:val="16"/>
    </w:rPr>
  </w:style>
  <w:style w:type="paragraph" w:styleId="Titre">
    <w:name w:val="Title"/>
    <w:basedOn w:val="Normal"/>
    <w:next w:val="Normal"/>
    <w:link w:val="TitreCar"/>
    <w:uiPriority w:val="10"/>
    <w:qFormat/>
    <w:rsid w:val="005A4DD2"/>
    <w:pPr>
      <w:spacing w:before="0" w:after="0"/>
    </w:pPr>
    <w:rPr>
      <w:rFonts w:asciiTheme="majorHAnsi" w:eastAsiaTheme="majorEastAsia" w:hAnsiTheme="majorHAnsi" w:cstheme="majorBidi"/>
      <w:caps/>
      <w:color w:val="C9435B" w:themeColor="accent1"/>
      <w:spacing w:val="10"/>
      <w:sz w:val="52"/>
      <w:szCs w:val="52"/>
    </w:rPr>
  </w:style>
  <w:style w:type="character" w:customStyle="1" w:styleId="TitreCar">
    <w:name w:val="Titre Car"/>
    <w:basedOn w:val="Policepardfaut"/>
    <w:link w:val="Titre"/>
    <w:uiPriority w:val="10"/>
    <w:rsid w:val="005A4DD2"/>
    <w:rPr>
      <w:rFonts w:asciiTheme="majorHAnsi" w:eastAsiaTheme="majorEastAsia" w:hAnsiTheme="majorHAnsi" w:cstheme="majorBidi"/>
      <w:caps/>
      <w:color w:val="C9435B" w:themeColor="accent1"/>
      <w:spacing w:val="10"/>
      <w:sz w:val="52"/>
      <w:szCs w:val="52"/>
    </w:rPr>
  </w:style>
  <w:style w:type="paragraph" w:styleId="Sous-titre">
    <w:name w:val="Subtitle"/>
    <w:basedOn w:val="Normal"/>
    <w:next w:val="Normal"/>
    <w:link w:val="Sous-titreCar"/>
    <w:uiPriority w:val="11"/>
    <w:qFormat/>
    <w:rsid w:val="005A4DD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A4DD2"/>
    <w:rPr>
      <w:caps/>
      <w:color w:val="595959" w:themeColor="text1" w:themeTint="A6"/>
      <w:spacing w:val="10"/>
      <w:sz w:val="21"/>
      <w:szCs w:val="21"/>
    </w:rPr>
  </w:style>
  <w:style w:type="character" w:styleId="lev">
    <w:name w:val="Strong"/>
    <w:uiPriority w:val="22"/>
    <w:qFormat/>
    <w:rsid w:val="005A4DD2"/>
    <w:rPr>
      <w:b/>
      <w:bCs/>
    </w:rPr>
  </w:style>
  <w:style w:type="character" w:styleId="Accentuation">
    <w:name w:val="Emphasis"/>
    <w:uiPriority w:val="20"/>
    <w:qFormat/>
    <w:rsid w:val="005A4DD2"/>
    <w:rPr>
      <w:caps/>
      <w:color w:val="671D2A" w:themeColor="accent1" w:themeShade="7F"/>
      <w:spacing w:val="5"/>
    </w:rPr>
  </w:style>
  <w:style w:type="paragraph" w:styleId="Citation">
    <w:name w:val="Quote"/>
    <w:basedOn w:val="Normal"/>
    <w:next w:val="Normal"/>
    <w:link w:val="CitationCar"/>
    <w:uiPriority w:val="29"/>
    <w:qFormat/>
    <w:rsid w:val="005A4DD2"/>
    <w:rPr>
      <w:i/>
      <w:iCs/>
      <w:sz w:val="24"/>
      <w:szCs w:val="24"/>
    </w:rPr>
  </w:style>
  <w:style w:type="character" w:customStyle="1" w:styleId="CitationCar">
    <w:name w:val="Citation Car"/>
    <w:basedOn w:val="Policepardfaut"/>
    <w:link w:val="Citation"/>
    <w:uiPriority w:val="29"/>
    <w:rsid w:val="005A4DD2"/>
    <w:rPr>
      <w:i/>
      <w:iCs/>
      <w:sz w:val="24"/>
      <w:szCs w:val="24"/>
    </w:rPr>
  </w:style>
  <w:style w:type="paragraph" w:styleId="Citationintense">
    <w:name w:val="Intense Quote"/>
    <w:basedOn w:val="Normal"/>
    <w:next w:val="Normal"/>
    <w:link w:val="CitationintenseCar"/>
    <w:uiPriority w:val="30"/>
    <w:qFormat/>
    <w:rsid w:val="005A4DD2"/>
    <w:pPr>
      <w:spacing w:before="240" w:after="240" w:line="240" w:lineRule="auto"/>
      <w:ind w:left="1080" w:right="1080"/>
      <w:jc w:val="center"/>
    </w:pPr>
    <w:rPr>
      <w:color w:val="C9435B" w:themeColor="accent1"/>
      <w:sz w:val="24"/>
      <w:szCs w:val="24"/>
    </w:rPr>
  </w:style>
  <w:style w:type="character" w:customStyle="1" w:styleId="CitationintenseCar">
    <w:name w:val="Citation intense Car"/>
    <w:basedOn w:val="Policepardfaut"/>
    <w:link w:val="Citationintense"/>
    <w:uiPriority w:val="30"/>
    <w:rsid w:val="005A4DD2"/>
    <w:rPr>
      <w:color w:val="C9435B" w:themeColor="accent1"/>
      <w:sz w:val="24"/>
      <w:szCs w:val="24"/>
    </w:rPr>
  </w:style>
  <w:style w:type="character" w:styleId="Accentuationlgre">
    <w:name w:val="Subtle Emphasis"/>
    <w:uiPriority w:val="19"/>
    <w:qFormat/>
    <w:rsid w:val="005A4DD2"/>
    <w:rPr>
      <w:i/>
      <w:iCs/>
      <w:color w:val="671D2A" w:themeColor="accent1" w:themeShade="7F"/>
    </w:rPr>
  </w:style>
  <w:style w:type="character" w:styleId="Accentuationintense">
    <w:name w:val="Intense Emphasis"/>
    <w:uiPriority w:val="21"/>
    <w:qFormat/>
    <w:rsid w:val="005A4DD2"/>
    <w:rPr>
      <w:b/>
      <w:bCs/>
      <w:caps/>
      <w:color w:val="671D2A" w:themeColor="accent1" w:themeShade="7F"/>
      <w:spacing w:val="10"/>
    </w:rPr>
  </w:style>
  <w:style w:type="character" w:styleId="Rfrencelgre">
    <w:name w:val="Subtle Reference"/>
    <w:uiPriority w:val="31"/>
    <w:qFormat/>
    <w:rsid w:val="005A4DD2"/>
    <w:rPr>
      <w:b/>
      <w:bCs/>
      <w:color w:val="C9435B" w:themeColor="accent1"/>
    </w:rPr>
  </w:style>
  <w:style w:type="character" w:styleId="Rfrenceintense">
    <w:name w:val="Intense Reference"/>
    <w:uiPriority w:val="32"/>
    <w:qFormat/>
    <w:rsid w:val="005A4DD2"/>
    <w:rPr>
      <w:b/>
      <w:bCs/>
      <w:i/>
      <w:iCs/>
      <w:caps/>
      <w:color w:val="C9435B" w:themeColor="accent1"/>
    </w:rPr>
  </w:style>
  <w:style w:type="character" w:styleId="Titredulivre">
    <w:name w:val="Book Title"/>
    <w:uiPriority w:val="33"/>
    <w:qFormat/>
    <w:rsid w:val="005A4DD2"/>
    <w:rPr>
      <w:b/>
      <w:bCs/>
      <w:i/>
      <w:iCs/>
      <w:spacing w:val="0"/>
    </w:rPr>
  </w:style>
  <w:style w:type="paragraph" w:styleId="En-ttedetabledesmatires">
    <w:name w:val="TOC Heading"/>
    <w:basedOn w:val="Titre1"/>
    <w:next w:val="Normal"/>
    <w:uiPriority w:val="39"/>
    <w:semiHidden/>
    <w:unhideWhenUsed/>
    <w:qFormat/>
    <w:rsid w:val="005A4DD2"/>
    <w:pPr>
      <w:outlineLvl w:val="9"/>
    </w:pPr>
  </w:style>
  <w:style w:type="paragraph" w:styleId="En-tte">
    <w:name w:val="header"/>
    <w:basedOn w:val="Normal"/>
    <w:link w:val="En-tteCar"/>
    <w:uiPriority w:val="99"/>
    <w:unhideWhenUsed/>
    <w:rsid w:val="00AE0435"/>
    <w:pPr>
      <w:tabs>
        <w:tab w:val="center" w:pos="4536"/>
        <w:tab w:val="right" w:pos="9072"/>
      </w:tabs>
      <w:spacing w:before="0" w:after="0" w:line="240" w:lineRule="auto"/>
    </w:pPr>
  </w:style>
  <w:style w:type="character" w:customStyle="1" w:styleId="En-tteCar">
    <w:name w:val="En-tête Car"/>
    <w:basedOn w:val="Policepardfaut"/>
    <w:link w:val="En-tte"/>
    <w:uiPriority w:val="99"/>
    <w:rsid w:val="00AE0435"/>
  </w:style>
  <w:style w:type="paragraph" w:styleId="Pieddepage">
    <w:name w:val="footer"/>
    <w:basedOn w:val="Normal"/>
    <w:link w:val="PieddepageCar"/>
    <w:uiPriority w:val="99"/>
    <w:unhideWhenUsed/>
    <w:rsid w:val="00AE043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E0435"/>
  </w:style>
  <w:style w:type="paragraph" w:styleId="NormalWeb">
    <w:name w:val="Normal (Web)"/>
    <w:basedOn w:val="Normal"/>
    <w:uiPriority w:val="99"/>
    <w:semiHidden/>
    <w:unhideWhenUsed/>
    <w:rsid w:val="00A559BB"/>
    <w:pPr>
      <w:spacing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0348">
      <w:bodyDiv w:val="1"/>
      <w:marLeft w:val="0"/>
      <w:marRight w:val="0"/>
      <w:marTop w:val="0"/>
      <w:marBottom w:val="0"/>
      <w:divBdr>
        <w:top w:val="none" w:sz="0" w:space="0" w:color="auto"/>
        <w:left w:val="none" w:sz="0" w:space="0" w:color="auto"/>
        <w:bottom w:val="none" w:sz="0" w:space="0" w:color="auto"/>
        <w:right w:val="none" w:sz="0" w:space="0" w:color="auto"/>
      </w:divBdr>
    </w:div>
    <w:div w:id="15736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330A41"/>
      </a:dk2>
      <a:lt2>
        <a:srgbClr val="B487C0"/>
      </a:lt2>
      <a:accent1>
        <a:srgbClr val="C9435B"/>
      </a:accent1>
      <a:accent2>
        <a:srgbClr val="D57284"/>
      </a:accent2>
      <a:accent3>
        <a:srgbClr val="62386A"/>
      </a:accent3>
      <a:accent4>
        <a:srgbClr val="5C9FA3"/>
      </a:accent4>
      <a:accent5>
        <a:srgbClr val="D1BC4B"/>
      </a:accent5>
      <a:accent6>
        <a:srgbClr val="6666FF"/>
      </a:accent6>
      <a:hlink>
        <a:srgbClr val="D2435B"/>
      </a:hlink>
      <a:folHlink>
        <a:srgbClr val="7E253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9418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MONROCQ</dc:creator>
  <cp:keywords/>
  <dc:description/>
  <cp:lastModifiedBy>Marie-Charlotte PASSILLY</cp:lastModifiedBy>
  <cp:revision>2</cp:revision>
  <dcterms:created xsi:type="dcterms:W3CDTF">2023-09-12T14:26:00Z</dcterms:created>
  <dcterms:modified xsi:type="dcterms:W3CDTF">2023-09-12T14:26:00Z</dcterms:modified>
</cp:coreProperties>
</file>